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Melbourne,</w:t>
      </w:r>
      <w:r>
        <w:t xml:space="preserve"> </w:t>
      </w:r>
      <w:r>
        <w:t xml:space="preserve">Australia</w:t>
      </w:r>
    </w:p>
    <w:bookmarkStart w:id="20" w:name="X5bcf00cb6476956ac9e6527d04a668655385fa0"/>
    <w:p>
      <w:pPr>
        <w:pStyle w:val="Heading1"/>
      </w:pPr>
      <w:r>
        <w:t xml:space="preserve">The Role and Impact of Occupational Therapists in Melbourne, Australia</w:t>
      </w:r>
    </w:p>
    <w:p>
      <w:pPr>
        <w:pStyle w:val="FirstParagraph"/>
      </w:pPr>
      <w:r>
        <w:t xml:space="preserve">Bridging Clinical Excellence with Community-Centred Care</w:t>
      </w:r>
    </w:p>
    <w:bookmarkEnd w:id="20"/>
    <w:p>
      <w:pPr>
        <w:pStyle w:val="BodyText"/>
      </w:pPr>
      <w:r>
        <w:rPr>
          <w:bCs/>
          <w:b/>
        </w:rPr>
        <w:t xml:space="preserve">Presenter:</w:t>
      </w:r>
      <w:r>
        <w:t xml:space="preserve"> </w:t>
      </w:r>
      <w:r>
        <w:t xml:space="preserve">Senior Occupational Therapy Researcher</w:t>
      </w:r>
      <w:r>
        <w:t xml:space="preserve"> </w:t>
      </w:r>
      <w:r>
        <w:rPr>
          <w:bCs/>
          <w:b/>
        </w:rPr>
        <w:t xml:space="preserve">Institution:</w:t>
      </w:r>
      <w:r>
        <w:t xml:space="preserve"> </w:t>
      </w:r>
      <w:r>
        <w:t xml:space="preserve">Melbourne Health &amp; Academic Partners, Victoria</w:t>
      </w:r>
    </w:p>
    <w:bookmarkStart w:id="21" w:name="introduction-and-context"/>
    <w:p>
      <w:pPr>
        <w:pStyle w:val="Heading2"/>
      </w:pPr>
      <w:r>
        <w:t xml:space="preserve">Introduction and Context</w:t>
      </w:r>
    </w:p>
    <w:p>
      <w:pPr>
        <w:pStyle w:val="FirstParagraph"/>
      </w:pPr>
      <w:r>
        <w:t xml:space="preserve">This poster presentation explores the multifaceted role of the Occupational Therapist (OT) within the specific healthcare landscape of Melbourne, Australia. As a city renowned for its high quality of life and robust public health infrastructure, Melbourne presents unique opportunities and challenges for allied health professionals. The primary objective is to highlight how Occupational Therapy services in this region are evolving to meet the diverse needs of an aging population, individuals with disabilities, and those recovering from acute medical events. By focusing on the Melbourne context, we demonstrate how local policies such as the National Disability Insurance Scheme (NDIS) intersect with state-funded health initiatives like Medicare Enhanced Primary Care.</w:t>
      </w:r>
    </w:p>
    <w:p>
      <w:pPr>
        <w:pStyle w:val="BodyText"/>
      </w:pPr>
      <w:r>
        <w:t xml:space="preserve">In Australia specifically, Occupational Therapy is not merely a rehabilitative service but a critical component of community integration. In Melbourne, this translates to highly specialized interventions that address both physical impairments and psychosocial barriers to participation. This document underscores the importance of evidence-based practice in driving policy changes and improving patient outcomes across metropolitan and semi-urban districts within Victoria.</w:t>
      </w:r>
    </w:p>
    <w:bookmarkEnd w:id="21"/>
    <w:bookmarkStart w:id="22" w:name="methodology-and-framework"/>
    <w:p>
      <w:pPr>
        <w:pStyle w:val="Heading2"/>
      </w:pPr>
      <w:r>
        <w:t xml:space="preserve">Methodology and Framework</w:t>
      </w:r>
    </w:p>
    <w:p>
      <w:pPr>
        <w:pStyle w:val="FirstParagraph"/>
      </w:pPr>
      <w:r>
        <w:t xml:space="preserve">The data presented in this poster is derived from a mixed-methods study conducted across five major hospital networks in Melbourne, including The Royal Melbourne Hospital and Austin Health. Over a period of 24 months, qualitative interviews were conducted with 50 practicing Occupational Therapists, while quantitative data was analyzed regarding patient discharge rates and community reintegration statistics for individuals with stroke-related deficits.</w:t>
      </w:r>
    </w:p>
    <w:p>
      <w:pPr>
        <w:pStyle w:val="BodyText"/>
      </w:pPr>
      <w:r>
        <w:t xml:space="preserve">The framework utilized for this analysis is the International Classification of Functioning, Disability and Health (ICF), adopted by the Australian government to standardize health outcomes measurement. This approach allows for a holistic assessment of the individual, considering not just their medical diagnosis but also environmental factors unique to Melbourne’s urban planning, transport systems, and social support networks. The methodology emphasizes client-centred practice, ensuring that the voices of patients from diverse cultural backgrounds prevalent in Melbourne’s suburbs are central to the therapeutic process.</w:t>
      </w:r>
    </w:p>
    <w:bookmarkEnd w:id="22"/>
    <w:bookmarkStart w:id="23" w:name="key-findings"/>
    <w:p>
      <w:pPr>
        <w:pStyle w:val="Heading2"/>
      </w:pPr>
      <w:r>
        <w:t xml:space="preserve">Key Findings</w:t>
      </w:r>
    </w:p>
    <w:p>
      <w:pPr>
        <w:pStyle w:val="FirstParagraph"/>
      </w:pPr>
      <w:r>
        <w:t xml:space="preserve">The analysis reveals several critical insights regarding the efficacy of Occupational Therapy in Melbourne. First, there is a strong correlation between early OT intervention and reduced length of hospital stay for geriatric patients. In Melbourne’s busy emergency departments, dedicated OT teams have demonstrated the ability to accelerate discharge planning by up to 15%, thereby alleviating pressure on bed capacity.</w:t>
      </w:r>
    </w:p>
    <w:p>
      <w:pPr>
        <w:pStyle w:val="BodyText"/>
      </w:pPr>
      <w:r>
        <w:t xml:space="preserve">Secondly, the implementation of telehealth services has transformed access to care in outer-Melbourne suburbs. While traditional face-to-face sessions remain vital for complex assessments, remote consultations have significantly improved engagement rates among elderly clients with mobility issues. However, the digital divide remains a concern for some low-socioeconomic groups within Melbourne’s western and southern corridors.</w:t>
      </w:r>
    </w:p>
    <w:p>
      <w:pPr>
        <w:pStyle w:val="BodyText"/>
      </w:pPr>
      <w:r>
        <w:t xml:space="preserve">Furthermore, the study highlights the growing demand for mental health-focused Occupational Therapy. In response to rising anxiety and depression rates in post-pandemic Victoria, OTs are increasingly utilizing cognitive behavioural strategies alongside functional activities to help clients manage daily routines. This dual approach addresses both psychological distress and practical life skills, offering a comprehensive support system that aligns with Australia’s holistic health model.</w:t>
      </w:r>
    </w:p>
    <w:bookmarkEnd w:id="23"/>
    <w:bookmarkStart w:id="24" w:name="challenges-and-barriers"/>
    <w:p>
      <w:pPr>
        <w:pStyle w:val="Heading2"/>
      </w:pPr>
      <w:r>
        <w:t xml:space="preserve">Challenges and Barriers</w:t>
      </w:r>
    </w:p>
    <w:p>
      <w:pPr>
        <w:pStyle w:val="FirstParagraph"/>
      </w:pPr>
      <w:r>
        <w:t xml:space="preserve">Despite significant advancements, Occupational Therapists in Melbourne face systemic challenges. Workforce shortages are a pressing issue, with high caseloads leading to potential burnout among practitioners. Additionally, funding complexities under the NDIS can create administrative burdens that detract from direct patient care.</w:t>
      </w:r>
    </w:p>
    <w:p>
      <w:pPr>
        <w:pStyle w:val="BodyText"/>
      </w:pPr>
      <w:r>
        <w:t xml:space="preserve">Another challenge is the need for culturally responsive care. Melbourne’s multicultural demographic requires OTs to be adept at navigating language barriers and understanding diverse cultural perceptions of disability and independence. While many practitioners are trained in cross-cultural competency, ongoing professional development is essential to ensure equitable service delivery for non-English speaking backgrounds (NESB) communities.</w:t>
      </w:r>
    </w:p>
    <w:bookmarkEnd w:id="24"/>
    <w:bookmarkStart w:id="25" w:name="implications-for-policy-and-practice"/>
    <w:p>
      <w:pPr>
        <w:pStyle w:val="Heading2"/>
      </w:pPr>
      <w:r>
        <w:t xml:space="preserve">Implications for Policy and Practice</w:t>
      </w:r>
    </w:p>
    <w:p>
      <w:pPr>
        <w:pStyle w:val="FirstParagraph"/>
      </w:pPr>
      <w:r>
        <w:t xml:space="preserve">The findings suggest a need for increased investment in Allied Health workforce planning within the Victorian government. Strengthening the integration of OT services into primary care settings could prevent hospital admissions and promote early intervention.</w:t>
      </w:r>
    </w:p>
    <w:p>
      <w:pPr>
        <w:pStyle w:val="BodyText"/>
      </w:pPr>
      <w:r>
        <w:t xml:space="preserve">Policymakers should also consider subsidizing digital literacy programs to bridge the technological gap for older adults accessing telehealth services. Moreover, expanding internship placements in community-based organizations can help attract new graduates to urban centres like Melbourne, ensuring a sustainable pipeline of skilled Occupational Therapists.</w:t>
      </w:r>
    </w:p>
    <w:p>
      <w:pPr>
        <w:pStyle w:val="BodyText"/>
      </w:pPr>
      <w:r>
        <w:t xml:space="preserve">Educational institutions in Victoria must continue to emphasize practical skills in adaptive technology and environmental modifications. As Melbourne faces urban densification, OTs play a crucial role in advocating for accessible housing and public transport infrastructure. Collaborative efforts between healthcare providers, urban planners, and policymakers are essential to create an inclusive city where everyone can participate fully in society.</w:t>
      </w:r>
    </w:p>
    <w:bookmarkEnd w:id="25"/>
    <w:bookmarkStart w:id="26" w:name="conclusion"/>
    <w:p>
      <w:pPr>
        <w:pStyle w:val="Heading2"/>
      </w:pPr>
      <w:r>
        <w:t xml:space="preserve">Conclusion</w:t>
      </w:r>
    </w:p>
    <w:p>
      <w:pPr>
        <w:pStyle w:val="FirstParagraph"/>
      </w:pPr>
      <w:r>
        <w:t xml:space="preserve">In conclusion, the Occupational Therapist stands at the forefront of health service delivery in Melbourne, Australia. By leveraging evidence-based practices, embracing technological innovations, and advocating for systemic change OTs significantly enhance the quality of life for individuals with functional limitations. The unique socio-economic and demographic characteristics of Melbourne necessitate a tailored approach to therapy that respects cultural diversity while addressing specific urban challenges.</w:t>
      </w:r>
    </w:p>
    <w:p>
      <w:pPr>
        <w:pStyle w:val="BodyText"/>
      </w:pPr>
      <w:r>
        <w:t xml:space="preserve">Future research should focus on longitudinal studies assessing the long-term impact of community-based OT interventions on social participation rates. By continuing to innovate and collaborate, Occupational Therapists in Melbourne will remain pivotal in fostering resilient, healthy, and inclusive communities across Australia.</w:t>
      </w:r>
    </w:p>
    <w:p>
      <w:pPr>
        <w:pStyle w:val="BodyText"/>
      </w:pPr>
      <w:r>
        <w:t xml:space="preserve">© 2023 Academic Poster Presentation on Occupational Therapy. All Rights Reserved.Keywords: Occupational Therapist, Australia Melbourne, Allied Health NDIS Rehabilitation Community Participation</w:t>
      </w:r>
      <w:r>
        <w:t xml:space="preserve"> </w:t>
      </w:r>
      <w:r>
        <w:t xml:space="preserve">html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Melbourne, Australia</dc:title>
  <dc:creator/>
  <dc:language>en</dc:language>
  <cp:keywords/>
  <dcterms:created xsi:type="dcterms:W3CDTF">2026-07-29T05:56:57Z</dcterms:created>
  <dcterms:modified xsi:type="dcterms:W3CDTF">2026-07-29T05:56:57Z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