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Ophthalmology</w:t>
      </w:r>
      <w:r>
        <w:t xml:space="preserve"> </w:t>
      </w:r>
      <w:r>
        <w:t xml:space="preserve">in</w:t>
      </w:r>
      <w:r>
        <w:t xml:space="preserve"> </w:t>
      </w:r>
      <w:r>
        <w:t xml:space="preserve">Australia</w:t>
      </w:r>
      <w:r>
        <w:t xml:space="preserve"> </w:t>
      </w:r>
      <w:r>
        <w:t xml:space="preserve">Sydney:</w:t>
      </w:r>
      <w:r>
        <w:t xml:space="preserve"> </w:t>
      </w:r>
      <w:r>
        <w:t xml:space="preserve">A</w:t>
      </w:r>
      <w:r>
        <w:t xml:space="preserve"> </w:t>
      </w:r>
      <w:r>
        <w:t xml:space="preserve">Poster</w:t>
      </w:r>
      <w:r>
        <w:t xml:space="preserve"> </w:t>
      </w:r>
      <w:r>
        <w:t xml:space="preserve">Presentation</w:t>
      </w:r>
    </w:p>
    <w:bookmarkStart w:id="20" w:name="X5ed975b731dc2f6b477f999ed93be8f51915b45"/>
    <w:p>
      <w:pPr>
        <w:pStyle w:val="Heading1"/>
      </w:pPr>
      <w:r>
        <w:t xml:space="preserve">Ophthalmology in Australia Sydney: A Poster Presentation academic on Advanced Care and Research Integration</w:t>
      </w:r>
    </w:p>
    <w:p>
      <w:pPr>
        <w:pStyle w:val="FirstParagraph"/>
      </w:pPr>
      <w:r>
        <w:t xml:space="preserve">Bridging Clinical Excellence, Technological Innovation, and Public Health Strategy</w:t>
      </w:r>
    </w:p>
    <w:bookmarkEnd w:id="20"/>
    <w:bookmarkStart w:id="21" w:name="heading-intro"/>
    <w:p>
      <w:pPr>
        <w:pStyle w:val="Heading2"/>
      </w:pPr>
      <w:r>
        <w:t xml:space="preserve">Introduction and Background: The Critical Need for Specialized Ophthalmic Care</w:t>
      </w:r>
    </w:p>
    <w:p>
      <w:pPr>
        <w:pStyle w:val="FirstParagraph"/>
      </w:pPr>
      <w:r>
        <w:t xml:space="preserve">The field of ophthalmology has undergone a profound transformation over the last two decades, evolving from traditional surgical practices to a highly interdisciplinary domain encompassing genetics, immunology, advanced imaging technology (such as Optical Coherence Tomography or OCT), and complex microsurgical interventions. This poster presentation academic exploration focuses specifically on the unique landscape of ophthalmic care within Australia Sydney, a region that serves as both an economic hub for medical research and a diverse metropolis requiring nuanced public health strategies.</w:t>
      </w:r>
    </w:p>
    <w:p>
      <w:pPr>
        <w:pStyle w:val="BodyText"/>
      </w:pPr>
      <w:r>
        <w:rPr>
          <w:bCs/>
          <w:b/>
        </w:rPr>
        <w:t xml:space="preserve">Australia Sydney</w:t>
      </w:r>
      <w:r>
        <w:t xml:space="preserve"> </w:t>
      </w:r>
      <w:r>
        <w:t xml:space="preserve">is characterized by its demographic diversity and high prevalence of lifestyle-related chronic diseases, including diabetes mellitus and age-related macular degeneration (AMD). These factors create a specific epidemiological profile that necessitates specialized attention from qualified ophthalmologist professionals. The objective of this academic document is to analyze the current state of ophthalmology in this region, highlighting the challenges faced by healthcare providers, the opportunities for innovation through research and development partnerships, and the essential role that continuous professional education plays in maintaining world-class standards of patient care.</w:t>
      </w:r>
    </w:p>
    <w:bookmarkEnd w:id="21"/>
    <w:bookmarkStart w:id="22" w:name="heading-methodology"/>
    <w:p>
      <w:pPr>
        <w:pStyle w:val="Heading2"/>
      </w:pPr>
      <w:r>
        <w:t xml:space="preserve">Methodological Framework for Academic Review</w:t>
      </w:r>
    </w:p>
    <w:p>
      <w:pPr>
        <w:pStyle w:val="FirstParagraph"/>
      </w:pPr>
      <w:r>
        <w:t xml:space="preserve">To construct this comprehensive poster presentation academic overview, we have synthesized data from peer-reviewed journals, local health department statistics published by New South Wales Health, and clinical trial outcomes reported by major tertiary hospitals in Australia Sydney. The methodology involves a mixed-methods approach: quantitative analysis of patient wait-times for cataract surgery and glaucoma management across public versus private sectors; followed by qualitative assessment of clinician perspectives regarding resource allocation.</w:t>
      </w:r>
    </w:p>
    <w:p>
      <w:pPr>
        <w:pStyle w:val="BodyText"/>
      </w:pPr>
      <w:r>
        <w:t xml:space="preserve">This rigorous analytical framework ensures that our findings are not merely anecdotal but represent evidence-based conclusions relevant to policymakers, hospital administrators, and practicing ophthalmologist specialists. By grounding our discussion in robust data collected within the Australia Sydney context, we aim to provide actionable insights for improving systemic efficiency.</w:t>
      </w:r>
    </w:p>
    <w:bookmarkEnd w:id="22"/>
    <w:bookmarkStart w:id="23" w:name="heading-challenges"/>
    <w:p>
      <w:pPr>
        <w:pStyle w:val="Heading2"/>
      </w:pPr>
      <w:r>
        <w:t xml:space="preserve">Current Challenges Facing Ophthalmologist Practitioners</w:t>
      </w:r>
    </w:p>
    <w:p>
      <w:pPr>
        <w:pStyle w:val="FirstParagraph"/>
      </w:pPr>
      <w:r>
        <w:rPr>
          <w:bCs/>
          <w:b/>
        </w:rPr>
        <w:t xml:space="preserve">Elevated Demand and Resource Constraints:</w:t>
      </w:r>
      <w:r>
        <w:t xml:space="preserve"> </w:t>
      </w:r>
      <w:r>
        <w:t xml:space="preserve">The aging population in Australia Sydney contributes significantly to the increasing incidence of sight-threatening conditions such as diabetic retinopathy and dry eye syndrome. Many ophthalmologist clinicians report excessive workloads, leading to potential burnout and delayed access for non-urgent cases. Public hospitals often face long waiting lists, highlighting the urgent need for expanded infrastructure or improved referral pathways.</w:t>
      </w:r>
    </w:p>
    <w:p>
      <w:pPr>
        <w:pStyle w:val="BodyText"/>
      </w:pPr>
      <w:r>
        <w:rPr>
          <w:bCs/>
          <w:b/>
        </w:rPr>
        <w:t xml:space="preserve">Socioeconomic Disparities in Access:</w:t>
      </w:r>
      <w:r>
        <w:t xml:space="preserve"> </w:t>
      </w:r>
      <w:r>
        <w:t xml:space="preserve">Despite universal healthcare coverage through Medicare, disparities remain evident among Indigenous communities and recent migrant populations residing in Australia Sydney. Barriers such as language difficulties, lack of culturally competent care providers (including diverse ophthalmologist staff representation), and geographical limitations contribute to unequal outcomes. Addressing these inequities requires targeted interventions tailored to the specific cultural contexts of our patients.</w:t>
      </w:r>
    </w:p>
    <w:bookmarkEnd w:id="23"/>
    <w:bookmarkStart w:id="24" w:name="heading-innovations"/>
    <w:p>
      <w:pPr>
        <w:pStyle w:val="Heading2"/>
      </w:pPr>
      <w:r>
        <w:t xml:space="preserve">Technological Innovations Driving Future Care Models</w:t>
      </w:r>
    </w:p>
    <w:p>
      <w:pPr>
        <w:pStyle w:val="FirstParagraph"/>
      </w:pPr>
      <w:r>
        <w:rPr>
          <w:bCs/>
          <w:b/>
        </w:rPr>
        <w:t xml:space="preserve">Digital Health Integration:</w:t>
      </w:r>
      <w:r>
        <w:t xml:space="preserve"> </w:t>
      </w:r>
      <w:r>
        <w:t xml:space="preserve">The integration of Artificial Intelligence (AI) into diagnostic algorithms represents a significant opportunity for ophthalmologist practices in Australia Sydney. AI-assisted screening tools can detect early signs of diabetic retinopathy faster and more accurately than human graders alone, potentially reducing the burden on specialist clinics while improving early intervention rates.</w:t>
      </w:r>
    </w:p>
    <w:p>
      <w:pPr>
        <w:pStyle w:val="BodyText"/>
      </w:pPr>
      <w:r>
        <w:rPr>
          <w:bCs/>
          <w:b/>
        </w:rPr>
        <w:t xml:space="preserve">Telemedicine and Remote Monitoring:</w:t>
      </w:r>
      <w:r>
        <w:t xml:space="preserve"> </w:t>
      </w:r>
      <w:r>
        <w:t xml:space="preserve">Post-pandemic adoption of telehealth solutions has proven invaluable for follow-up consultations. For patients living in outer suburbs or regional areas near Australia Sydney, remote monitoring via digital ophthalmoscope devices allows an ophthalmologist to assess retinal health without requiring frequent travel. This hybrid model enhances accessibility and reduces healthcare costs significantly.</w:t>
      </w:r>
    </w:p>
    <w:bookmarkEnd w:id="24"/>
    <w:bookmarkStart w:id="25" w:name="heading-research"/>
    <w:p>
      <w:pPr>
        <w:pStyle w:val="Heading2"/>
      </w:pPr>
      <w:r>
        <w:t xml:space="preserve">Research Opportunities and Collaborative Networks</w:t>
      </w:r>
    </w:p>
    <w:p>
      <w:pPr>
        <w:pStyle w:val="FirstParagraph"/>
      </w:pPr>
      <w:r>
        <w:rPr>
          <w:bCs/>
          <w:b/>
        </w:rPr>
        <w:t xml:space="preserve">Clinical Trials Leadership:</w:t>
      </w:r>
      <w:r>
        <w:t xml:space="preserve"> </w:t>
      </w:r>
      <w:r>
        <w:t xml:space="preserve">Australia Sydney hosts several leading research institutions capable of spearheading global clinical trials for novel therapeutics targeting glaucoma and macular degeneration. By fostering stronger collaborations between academic researchers, industry partners, and frontline ophthalmologist clinicians, we can accelerate the translation of laboratory discoveries into clinical practice.</w:t>
      </w:r>
    </w:p>
    <w:p>
      <w:pPr>
        <w:pStyle w:val="BodyText"/>
      </w:pPr>
      <w:r>
        <w:rPr>
          <w:bCs/>
          <w:b/>
        </w:rPr>
        <w:t xml:space="preserve">Longitudinal Data Initiatives:</w:t>
      </w:r>
      <w:r>
        <w:t xml:space="preserve"> </w:t>
      </w:r>
      <w:r>
        <w:t xml:space="preserve">Establishing large-scale longitudinal databases tracking visual health outcomes across diverse populations in Australia Sydney would provide invaluable insights into disease progression and treatment efficacy. Such data-driven approaches empower an ophthalmologist to make personalized treatment decisions based on predictive analytics rather than solely relying on historical averages.</w:t>
      </w:r>
    </w:p>
    <w:bookmarkEnd w:id="25"/>
    <w:bookmarkStart w:id="26" w:name="heading-conclusion"/>
    <w:p>
      <w:pPr>
        <w:pStyle w:val="Heading2"/>
      </w:pPr>
      <w:r>
        <w:t xml:space="preserve">Conclusion and Recommendations</w:t>
      </w:r>
    </w:p>
    <w:p>
      <w:pPr>
        <w:pStyle w:val="FirstParagraph"/>
      </w:pPr>
      <w:r>
        <w:t xml:space="preserve">This poster presentation academic analysis underscores the critical importance of addressing the multifaceted challenges facing ophthalmology services in Australia Sydney. While technological advancements offer promising solutions for enhancing diagnostic precision and accessibility, systemic issues such as workforce shortages and socioeconomic disparities require concerted policy responses.</w:t>
      </w:r>
    </w:p>
    <w:p>
      <w:pPr>
        <w:pStyle w:val="BodyText"/>
      </w:pPr>
      <w:r>
        <w:t xml:space="preserve">We recommend that stakeholders prioritize investment in digital health infrastructure, promote diversity within the ophthalmologist workforce to better reflect the multicultural fabric of Australia Sydney society, and expand funding for preventive care initiatives. Only through holistic strategies can we ensure sustainable excellence in vision care for all residents.</w:t>
      </w:r>
    </w:p>
    <w:bookmarkEnd w:id="26"/>
    <w:p>
      <w:pPr>
        <w:pStyle w:val="BodyText"/>
      </w:pPr>
      <w:r>
        <w:t xml:space="preserve">Acknowledgments and References</w:t>
      </w:r>
    </w:p>
    <w:p>
      <w:pPr>
        <w:numPr>
          <w:ilvl w:val="0"/>
          <w:numId w:val="1001"/>
        </w:numPr>
        <w:pStyle w:val="Compact"/>
      </w:pPr>
      <w:r>
        <w:t xml:space="preserve">New South Wales Health Department Annual Report (2023).</w:t>
      </w:r>
    </w:p>
    <w:p>
      <w:pPr>
        <w:numPr>
          <w:ilvl w:val="0"/>
          <w:numId w:val="1001"/>
        </w:numPr>
        <w:pStyle w:val="Compact"/>
      </w:pPr>
      <w:r>
        <w:t xml:space="preserve">Royal Australian and New Zealand College of Ophthalmologists (RANZCO) Guidelines.</w:t>
      </w:r>
    </w:p>
    <w:p>
      <w:pPr>
        <w:numPr>
          <w:ilvl w:val="0"/>
          <w:numId w:val="1001"/>
        </w:numPr>
        <w:pStyle w:val="Compact"/>
      </w:pPr>
      <w:r>
        <w:t xml:space="preserve">Published studies from University of Sydney Institute for Eye Research.</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Ophthalmology in Australia Sydney: A Poster Presentation</dc:title>
  <dc:creator/>
  <dc:language>en</dc:language>
  <cp:keywords/>
  <dcterms:created xsi:type="dcterms:W3CDTF">2026-07-29T03:09:04Z</dcterms:created>
  <dcterms:modified xsi:type="dcterms:W3CDTF">2026-07-29T03:09:04Z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