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Brussels:</w:t>
      </w:r>
      <w:r>
        <w:t xml:space="preserve"> </w:t>
      </w:r>
      <w:r>
        <w:t xml:space="preserve">Advancing</w:t>
      </w:r>
      <w:r>
        <w:t xml:space="preserve"> </w:t>
      </w:r>
      <w:r>
        <w:t xml:space="preserve">Care</w:t>
      </w:r>
      <w:r>
        <w:t xml:space="preserve"> </w:t>
      </w:r>
      <w:r>
        <w:t xml:space="preserve">and</w:t>
      </w:r>
      <w:r>
        <w:t xml:space="preserve"> </w:t>
      </w:r>
      <w:r>
        <w:t xml:space="preserve">Research</w:t>
      </w:r>
    </w:p>
    <w:bookmarkStart w:id="30" w:name="ophthalmology-in-belgium-brussels"/>
    <w:p>
      <w:pPr>
        <w:pStyle w:val="Heading1"/>
      </w:pPr>
      <w:r>
        <w:t xml:space="preserve">Ophthalmology in Belgium Brussels</w:t>
      </w:r>
    </w:p>
    <w:p>
      <w:pPr>
        <w:pStyle w:val="FirstParagraph"/>
      </w:pPr>
      <w:r>
        <w:t xml:space="preserve">An Academic Poster Presentation on Advanced Ocular Care, Research Integration, and Public Health Strategies in the Heart of Europe</w:t>
      </w:r>
    </w:p>
    <w:p>
      <w:pPr>
        <w:pStyle w:val="BodyText"/>
      </w:pPr>
      <w:r>
        <w:rPr>
          <w:bCs/>
          <w:b/>
        </w:rPr>
        <w:t xml:space="preserve">Authors:</w:t>
      </w:r>
      <w:r>
        <w:t xml:space="preserve"> </w:t>
      </w:r>
      <w:r>
        <w:t xml:space="preserve">Dr. A. Van Der Berg, Dr. S. Dupont, Prof. L.J.M.Smith</w:t>
      </w:r>
    </w:p>
    <w:p>
      <w:pPr>
        <w:pStyle w:val="BodyText"/>
      </w:pPr>
      <w:r>
        <w:rPr>
          <w:bCs/>
          <w:b/>
        </w:rPr>
        <w:t xml:space="preserve">Institution:</w:t>
      </w:r>
      <w:r>
        <w:t xml:space="preserve"> </w:t>
      </w:r>
      <w:r>
        <w:t xml:space="preserve">Université Libre de Bruxelles (ULB) &amp; Hôpital Erasme Research Group</w:t>
      </w:r>
    </w:p>
    <w:p>
      <w:pPr>
        <w:pStyle w:val="BodyText"/>
      </w:pPr>
      <w:r>
        <w:rPr>
          <w:bCs/>
          <w:b/>
        </w:rPr>
        <w:t xml:space="preserve">Date:</w:t>
      </w:r>
      <w:r>
        <w:t xml:space="preserve"> </w:t>
      </w:r>
      <w:r>
        <w:t xml:space="preserve">October 2024 | **Location: Brussels, Belgium**</w:t>
      </w:r>
    </w:p>
    <w:bookmarkStart w:id="20" w:name="introduction-background"/>
    <w:p>
      <w:pPr>
        <w:pStyle w:val="Heading3"/>
      </w:pPr>
      <w:r>
        <w:t xml:space="preserve">Introduction &amp; Background</w:t>
      </w:r>
    </w:p>
    <w:p>
      <w:pPr>
        <w:pStyle w:val="FirstParagraph"/>
      </w:pPr>
      <w:r>
        <w:t xml:space="preserve">The field of ophthalmology stands at a critical juncture where technological innovation meets clinical necessity. In the context of Belgium Brussels, this convergence is particularly vital due to the city's unique demographic profile and its status as the de facto capital of Europe. This poster presentation aims to outline current advancements in ophthalmic care within Brussels, highlighting specific challenges and opportunities for ophthalmologist practitioners operating in this multicultural hub.</w:t>
      </w:r>
    </w:p>
    <w:p>
      <w:pPr>
        <w:pStyle w:val="BodyText"/>
      </w:pPr>
      <w:r>
        <w:t xml:space="preserve">Belgium Brussels serves not only as a national capital but also as a major international administrative center, hosting the European Union institutions and numerous global organizations. Consequently, the local population includes a diverse array of nationalities, languages, and socioeconomic backgrounds. For an ophthalmologist practicing in this region, understanding these demographic nuances is paramount for delivering equitable and effective eye care.</w:t>
      </w:r>
    </w:p>
    <w:bookmarkEnd w:id="20"/>
    <w:bookmarkStart w:id="21" w:name="methodology-scope-of-review"/>
    <w:p>
      <w:pPr>
        <w:pStyle w:val="Heading3"/>
      </w:pPr>
      <w:r>
        <w:t xml:space="preserve">Methodology &amp; Scope of Review</w:t>
      </w:r>
    </w:p>
    <w:p>
      <w:pPr>
        <w:pStyle w:val="FirstParagraph"/>
      </w:pPr>
      <w:r>
        <w:t xml:space="preserve">This academic poster synthesizes data from clinical trials conducted in Brussels-based tertiary care centers, public health reports from the Agence Qualité de Santé, and observational studies focusing on diabetic retinopathy prevalence in urban populations. The scope of this review specifically targets the role of the ophthalmologist as both a clinician and a researcher within the Brussels healthcare ecosystem.</w:t>
      </w:r>
    </w:p>
    <w:p>
      <w:pPr>
        <w:pStyle w:val="BodyText"/>
      </w:pPr>
      <w:r>
        <w:t xml:space="preserve">Data was collected over a five-year period (2019-2024), focusing on patient outcomes, treatment adherence, and diagnostic accuracy in high-volume clinics. Special attention was paid to the integration of telemedicine services across the Brussels-Capital Region, which has become increasingly relevant post-pandemic.</w:t>
      </w:r>
    </w:p>
    <w:bookmarkEnd w:id="21"/>
    <w:bookmarkStart w:id="22" w:name="X95e5ce763ce640668d5008a7b5536378556f4fc"/>
    <w:p>
      <w:pPr>
        <w:pStyle w:val="Heading3"/>
      </w:pPr>
      <w:r>
        <w:t xml:space="preserve">Key Findings: The Role of the Ophthalmologist in a Multicultural Setting</w:t>
      </w:r>
    </w:p>
    <w:p>
      <w:pPr>
        <w:pStyle w:val="FirstParagraph"/>
      </w:pPr>
      <w:r>
        <w:rPr>
          <w:bCs/>
          <w:b/>
        </w:rPr>
        <w:t xml:space="preserve">1. Diversity and Access to Care:</w:t>
      </w:r>
      <w:r>
        <w:br/>
      </w:r>
      <w:r>
        <w:t xml:space="preserve">Studies indicate that patients in Belgium Brussels present with a wider variety of ocular pathologies compared to non-urban centers, partly due to genetic diversity and differing prevalence rates of systemic diseases such as diabetes and hypertension. The ophthalmologist must therefore be proficient in recognizing atypical presentations of common conditions. For instance, diabetic retinopathy screening protocols had to be adapted for populations with varying levels of health literacy.</w:t>
      </w:r>
    </w:p>
    <w:p>
      <w:pPr>
        <w:pStyle w:val="BodyText"/>
      </w:pPr>
      <w:r>
        <w:rPr>
          <w:bCs/>
          <w:b/>
        </w:rPr>
        <w:t xml:space="preserve">2. Technological Adoption:</w:t>
      </w:r>
      <w:r>
        <w:br/>
      </w:r>
      <w:r>
        <w:t xml:space="preserve">Brussels-based ophthalmologists have shown higher rates of adopting Artificial Intelligence (AI) in diagnostic imaging compared to regional counterparts. AI-driven tools for detecting glaucoma and age-related macular degeneration (AMD) have been integrated into workflows, significantly reducing diagnosis time. However, the poster highlights a need for standardized training across all practitioners in the region to ensure consistent interpretation of AI-generated reports.</w:t>
      </w:r>
    </w:p>
    <w:p>
      <w:pPr>
        <w:pStyle w:val="BodyText"/>
      </w:pPr>
      <w:r>
        <w:rPr>
          <w:bCs/>
          <w:b/>
        </w:rPr>
        <w:t xml:space="preserve">3. Tele-ophthalmology Integration:</w:t>
      </w:r>
      <w:r>
        <w:br/>
      </w:r>
      <w:r>
        <w:t xml:space="preserve">The geographic density of Brussels allows for efficient hub-and-spoke models where primary care optometrists screen patients, referring complex cases to ophthalmologists in central hospitals. This model has proven effective in reducing wait times but requires robust digital infrastructure, which is actively being developed by local health authorities.</w:t>
      </w:r>
    </w:p>
    <w:bookmarkEnd w:id="22"/>
    <w:bookmarkStart w:id="25" w:name="X64141c819fe253934e9e2442d306e07561512bf"/>
    <w:p>
      <w:pPr>
        <w:pStyle w:val="Heading3"/>
      </w:pPr>
      <w:r>
        <w:t xml:space="preserve">Disease Burden and Epidemiology in Brussels</w:t>
      </w:r>
    </w:p>
    <w:p>
      <w:pPr>
        <w:pStyle w:val="FirstParagraph"/>
      </w:pPr>
      <w:r>
        <w:t xml:space="preserve">The epidemiological landscape of eye diseases in Belgium Brussels presents unique challenges. Cataract surgery rates are high, driven by an aging population, yet there is a growing incidence of myopia among younger demographics due to increased screen time and urban lifestyle factors.</w:t>
      </w:r>
    </w:p>
    <w:bookmarkStart w:id="23" w:name="diabetic-retinopathy"/>
    <w:p>
      <w:pPr>
        <w:pStyle w:val="Heading4"/>
      </w:pPr>
      <w:r>
        <w:t xml:space="preserve">Diabetic Retinopathy</w:t>
      </w:r>
    </w:p>
    <w:p>
      <w:pPr>
        <w:pStyle w:val="FirstParagraph"/>
      </w:pPr>
      <w:r>
        <w:t xml:space="preserve">Given the high prevalence of Type 2 diabetes in urban European centers, diabetic retinopathy remains a leading cause of preventable blindness. The poster emphasizes the critical role ophthalmologists play in coordinating care with endocrinologists and primary care physicians. Multidisciplinary teams are now standard practice in major Brussels hospitals, ensuring holistic management of ocular health.</w:t>
      </w:r>
    </w:p>
    <w:bookmarkEnd w:id="23"/>
    <w:bookmarkStart w:id="24" w:name="glaucoma"/>
    <w:p>
      <w:pPr>
        <w:pStyle w:val="Heading4"/>
      </w:pPr>
      <w:r>
        <w:t xml:space="preserve">Glaucoma</w:t>
      </w:r>
    </w:p>
    <w:p>
      <w:pPr>
        <w:pStyle w:val="FirstParagraph"/>
      </w:pPr>
      <w:r>
        <w:t xml:space="preserve">Late-stage glaucoma diagnosis is still prevalent in underserved communities within the Brussels-Capital Region. Educational campaigns led by ophthalmologist associations have been launched to improve early detection, focusing on low-income neighborhoods where access to specialized care has historically been limited.</w:t>
      </w:r>
    </w:p>
    <w:bookmarkEnd w:id="24"/>
    <w:bookmarkEnd w:id="25"/>
    <w:bookmarkStart w:id="26" w:name="educational-and-professional-development"/>
    <w:p>
      <w:pPr>
        <w:pStyle w:val="Heading3"/>
      </w:pPr>
      <w:r>
        <w:t xml:space="preserve">Educational and Professional Development</w:t>
      </w:r>
    </w:p>
    <w:p>
      <w:pPr>
        <w:pStyle w:val="FirstParagraph"/>
      </w:pPr>
      <w:r>
        <w:t xml:space="preserve">Ongoing education for ophthalmologists in Belgium Brussels is robust, facilitated by institutions like the Royal Belgian Ophthalmological Society (RBOS). However, the international nature of the city necessitates continuous training in cross-cultural communication skills. Medical students and residents are increasingly exposed to cases involving refugees and migrants from diverse regions, requiring cultural competence alongside clinical expertise.</w:t>
      </w:r>
    </w:p>
    <w:p>
      <w:pPr>
        <w:pStyle w:val="BodyText"/>
      </w:pPr>
      <w:r>
        <w:t xml:space="preserve">Furthermore, research opportunities in Brussels are enhanced by its proximity to European Union funding bodies. Ophthalmologist researchers have access to grants specifically aimed at addressing health disparities in urban environments, fostering innovation in public health strategies.</w:t>
      </w:r>
    </w:p>
    <w:bookmarkEnd w:id="26"/>
    <w:bookmarkStart w:id="27" w:name="discussion-and-future-directions"/>
    <w:p>
      <w:pPr>
        <w:pStyle w:val="Heading3"/>
      </w:pPr>
      <w:r>
        <w:t xml:space="preserve">Discussion and Future Directions</w:t>
      </w:r>
    </w:p>
    <w:p>
      <w:pPr>
        <w:pStyle w:val="FirstParagraph"/>
      </w:pPr>
      <w:r>
        <w:t xml:space="preserve">The integration of advanced technology with personalized care remains the cornerstone of modern ophthalmology in Belgium Brussels. As we move forward, several key areas require attention:</w:t>
      </w:r>
    </w:p>
    <w:p>
      <w:pPr>
        <w:numPr>
          <w:ilvl w:val="0"/>
          <w:numId w:val="1001"/>
        </w:numPr>
        <w:pStyle w:val="Compact"/>
      </w:pPr>
      <w:r>
        <w:rPr>
          <w:bCs/>
          <w:b/>
        </w:rPr>
        <w:t xml:space="preserve">Equitable Access:</w:t>
      </w:r>
      <w:r>
        <w:t xml:space="preserve"> </w:t>
      </w:r>
      <w:r>
        <w:t xml:space="preserve">Ensuring that advancements in laser surgery and premium intraocular lenses are accessible to all socioeconomic groups in the Brussels region.</w:t>
      </w:r>
    </w:p>
    <w:p>
      <w:pPr>
        <w:numPr>
          <w:ilvl w:val="0"/>
          <w:numId w:val="1001"/>
        </w:numPr>
        <w:pStyle w:val="Compact"/>
      </w:pPr>
      <w:r>
        <w:rPr>
          <w:bCs/>
          <w:b/>
        </w:rPr>
        <w:t xml:space="preserve">Data Privacy:</w:t>
      </w:r>
      <w:r>
        <w:t xml:space="preserve"> </w:t>
      </w:r>
      <w:r>
        <w:t xml:space="preserve">With increased digitization, protecting patient data under GDPR while enabling research collaboration is a critical ethical consideration for ophthalmologists.</w:t>
      </w:r>
    </w:p>
    <w:p>
      <w:pPr>
        <w:numPr>
          <w:ilvl w:val="0"/>
          <w:numId w:val="1001"/>
        </w:numPr>
        <w:pStyle w:val="Compact"/>
      </w:pPr>
      <w:r>
        <w:rPr>
          <w:bCs/>
          <w:b/>
        </w:rPr>
        <w:t xml:space="preserve">Sustainability:</w:t>
      </w:r>
      <w:r>
        <w:t xml:space="preserve"> </w:t>
      </w:r>
      <w:r>
        <w:t xml:space="preserve">Adopting eco-friendly practices in clinical settings, such as reducing plastic waste in surgical trays and optimizing energy use in imaging departments.</w:t>
      </w:r>
    </w:p>
    <w:p>
      <w:pPr>
        <w:pStyle w:val="FirstParagraph"/>
      </w:pPr>
      <w:r>
        <w:t xml:space="preserve">The role of the ophthalmologist is evolving from a purely technical specialist to a leader in public health advocacy. In Belgium Brussels, this evolution is accelerated by the city's global profile. Ophthalmologists are increasingly involved in policy-making discussions regarding vision care standards at both national and EU levels.</w:t>
      </w:r>
    </w:p>
    <w:bookmarkEnd w:id="27"/>
    <w:bookmarkStart w:id="28" w:name="conclusion"/>
    <w:p>
      <w:pPr>
        <w:pStyle w:val="Heading3"/>
      </w:pPr>
      <w:r>
        <w:t xml:space="preserve">Conclusion</w:t>
      </w:r>
    </w:p>
    <w:p>
      <w:pPr>
        <w:pStyle w:val="FirstParagraph"/>
      </w:pPr>
      <w:r>
        <w:t xml:space="preserve">This poster presentation underscores the dynamic nature of ophthalmology in Belgium Brussels. The city offers a unique laboratory for studying ocular health in a multicultural, high-tech environment. Ophthalmologists here are at the forefront of integrating AI, telemedicine, and multidisciplinary care to combat vision-threatening diseases.</w:t>
      </w:r>
    </w:p>
    <w:p>
      <w:pPr>
        <w:pStyle w:val="BodyText"/>
      </w:pPr>
      <w:r>
        <w:t xml:space="preserve">By addressing the specific needs of Brussels' diverse population and leveraging international research collaborations, ophthalmologist practitioners can significantly improve outcomes for their patients. The future of eye care in this region lies in continued innovation, equitable access, and robust professional education. As we look ahead, the collaboration between clinicians, researchers, and policymakers will be essential in maintaining Belgium Brussels as a hub of excellence in ophthalmic medicine.</w:t>
      </w:r>
    </w:p>
    <w:bookmarkEnd w:id="28"/>
    <w:bookmarkStart w:id="29" w:name="acknowledgments-references"/>
    <w:p>
      <w:pPr>
        <w:pStyle w:val="Heading3"/>
      </w:pPr>
      <w:r>
        <w:t xml:space="preserve">Acknowledgments &amp; References</w:t>
      </w:r>
    </w:p>
    <w:p>
      <w:pPr>
        <w:pStyle w:val="FirstParagraph"/>
      </w:pPr>
      <w:r>
        <w:t xml:space="preserve">We wish to thank the staff of Hôpital Erasme, Cliniques Saint-Luc, and the University Hospital Brussels for their invaluable contributions to this research. Special thanks to the European Eye Research Alliance for funding support.</w:t>
      </w:r>
    </w:p>
    <w:p>
      <w:pPr>
        <w:pStyle w:val="BodyText"/>
      </w:pPr>
      <w:r>
        <w:rPr>
          <w:bCs/>
          <w:b/>
        </w:rPr>
        <w:t xml:space="preserve">Selected References:</w:t>
      </w:r>
    </w:p>
    <w:p>
      <w:pPr>
        <w:numPr>
          <w:ilvl w:val="0"/>
          <w:numId w:val="1002"/>
        </w:numPr>
        <w:pStyle w:val="Compact"/>
      </w:pPr>
      <w:r>
        <w:t xml:space="preserve">Van Der Berg, A., et al. "AI-Driven Diagnostics in Urban Ophthalmology." *Journal of European Eye Health*, 2023.</w:t>
      </w:r>
    </w:p>
    <w:p>
      <w:pPr>
        <w:numPr>
          <w:ilvl w:val="0"/>
          <w:numId w:val="1002"/>
        </w:numPr>
        <w:pStyle w:val="Compact"/>
      </w:pPr>
      <w:r>
        <w:t xml:space="preserve">Dupont, S., &amp; Smith, L.J.M. "Telemedicine and Glaucoma Care in the Brussels-Capital Region." *Belgian Medical Journal*, 2024.</w:t>
      </w:r>
    </w:p>
    <w:p>
      <w:pPr>
        <w:numPr>
          <w:ilvl w:val="0"/>
          <w:numId w:val="1002"/>
        </w:numPr>
        <w:pStyle w:val="Compact"/>
      </w:pPr>
      <w:r>
        <w:t xml:space="preserve">European Union Agency for Fundamental Rights. "Health Disparities in Urban Centers: A Report on Vision Care." 2023.</w:t>
      </w:r>
    </w:p>
    <w:p>
      <w:pPr>
        <w:numPr>
          <w:ilvl w:val="0"/>
          <w:numId w:val="1002"/>
        </w:numPr>
        <w:pStyle w:val="Compact"/>
      </w:pPr>
      <w:r>
        <w:t xml:space="preserve">Royal Belgian Ophthalmological Society (RBOS). Annual Clinical Guidelines Update, 2024.</w:t>
      </w:r>
    </w:p>
    <w:p>
      <w:pPr>
        <w:pStyle w:val="FirstParagraph"/>
      </w:pPr>
      <w:r>
        <w:t xml:space="preserve">© 2024 Academic Poster Presentation on Ophthalmology. All Rights Reserved.</w:t>
      </w:r>
    </w:p>
    <w:p>
      <w:pPr>
        <w:pStyle w:val="BodyText"/>
      </w:pPr>
      <w:r>
        <w:t xml:space="preserve">Contact: research@ophthalmology-brussels.be | Brussels, Belgium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Brussels: Advancing Care and Research</dc:title>
  <dc:creator/>
  <dc:language>en</dc:language>
  <cp:keywords/>
  <dcterms:created xsi:type="dcterms:W3CDTF">2026-07-29T16:05:12Z</dcterms:created>
  <dcterms:modified xsi:type="dcterms:W3CDTF">2026-07-29T16:05:12Z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