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Poster</w:t>
      </w:r>
      <w:r>
        <w:t xml:space="preserve"> </w:t>
      </w:r>
      <w:r>
        <w:t xml:space="preserve">Presentation:</w:t>
      </w:r>
      <w:r>
        <w:t xml:space="preserve"> </w:t>
      </w:r>
      <w:r>
        <w:t xml:space="preserve">Advanced</w:t>
      </w:r>
      <w:r>
        <w:t xml:space="preserve"> </w:t>
      </w:r>
      <w:r>
        <w:t xml:space="preserve">Diagnostics</w:t>
      </w:r>
      <w:r>
        <w:t xml:space="preserve"> </w:t>
      </w:r>
      <w:r>
        <w:t xml:space="preserve">and</w:t>
      </w:r>
      <w:r>
        <w:t xml:space="preserve"> </w:t>
      </w:r>
      <w:r>
        <w:t xml:space="preserve">Therapeutics</w:t>
      </w:r>
      <w:r>
        <w:t xml:space="preserve"> </w:t>
      </w:r>
      <w:r>
        <w:t xml:space="preserve">in</w:t>
      </w:r>
      <w:r>
        <w:t xml:space="preserve"> </w:t>
      </w:r>
      <w:r>
        <w:t xml:space="preserve">China</w:t>
      </w:r>
      <w:r>
        <w:t xml:space="preserve"> </w:t>
      </w:r>
      <w:r>
        <w:t xml:space="preserve">Beijing</w:t>
      </w:r>
    </w:p>
    <w:bookmarkStart w:id="20" w:name="X55e04c6fc3db109f673fe1a0460c9c74db19004"/>
    <w:p>
      <w:pPr>
        <w:pStyle w:val="Heading1"/>
      </w:pPr>
      <w:r>
        <w:t xml:space="preserve">Ophthalmologist Poster Presentation Academic Research</w:t>
      </w:r>
    </w:p>
    <w:p>
      <w:pPr>
        <w:pStyle w:val="FirstParagraph"/>
      </w:pPr>
      <w:r>
        <w:t xml:space="preserve">Advancements in Retinal Imaging, Cataract Surgery, and Telemedicine Implementation for Public Health in China Beijing</w:t>
      </w:r>
    </w:p>
    <w:p>
      <w:pPr>
        <w:pStyle w:val="BodyText"/>
      </w:pPr>
      <w:r>
        <w:rPr>
          <w:bCs/>
          <w:b/>
        </w:rPr>
        <w:t xml:space="preserve">Presented At: The International Ophthalmology Conference | Location: China Beijing | Date: October 2023</w:t>
      </w:r>
    </w:p>
    <w:bookmarkEnd w:id="20"/>
    <w:bookmarkStart w:id="21" w:name="abstract"/>
    <w:p>
      <w:pPr>
        <w:pStyle w:val="Heading2"/>
      </w:pPr>
      <w:r>
        <w:t xml:space="preserve">Abstract</w:t>
      </w:r>
    </w:p>
    <w:p>
      <w:pPr>
        <w:pStyle w:val="FirstParagraph"/>
      </w:pPr>
      <w:r>
        <w:t xml:space="preserve">This</w:t>
      </w:r>
      <w:r>
        <w:t xml:space="preserve"> </w:t>
      </w:r>
      <w:r>
        <w:rPr>
          <w:bCs/>
          <w:b/>
        </w:rPr>
        <w:t xml:space="preserve">Ophthalmologist Poster Presentation Academic</w:t>
      </w:r>
      <w:r>
        <w:t xml:space="preserve"> </w:t>
      </w:r>
      <w:r>
        <w:t xml:space="preserve">document outlines the critical strides made in modern ocular medicine, specifically addressing the unique demographic and infrastructural challenges present within China Beijing. As urbanization accelerates and an aging population increases globally, the prevalence of sight-threatening conditions such as glaucoma, diabetic retinopathy (DR), age-related macular degeneration (AMD), and cataracts has surged. This presentation focuses on how an</w:t>
      </w:r>
      <w:r>
        <w:t xml:space="preserve"> </w:t>
      </w:r>
      <w:r>
        <w:rPr>
          <w:bCs/>
          <w:b/>
        </w:rPr>
        <w:t xml:space="preserve">Ophthalmologist</w:t>
      </w:r>
      <w:r>
        <w:t xml:space="preserve"> </w:t>
      </w:r>
      <w:r>
        <w:t xml:space="preserve">in China Beijing can leverage advanced diagnostic technologies and localized clinical protocols to improve patient outcomes.</w:t>
      </w:r>
    </w:p>
    <w:p>
      <w:pPr>
        <w:pStyle w:val="BodyText"/>
      </w:pPr>
      <w:r>
        <w:t xml:space="preserve">The primary objective of this study is to evaluate the efficacy of integrating Artificial Intelligence (AI)-driven screening tools with traditional manual slit-lamp examinations among diverse populations. By analyzing data collected from tertiary hospitals in China Beijing, we demonstrate that a hybrid model significantly reduces diagnostic latency and enhances early intervention rates for preventable blindness.</w:t>
      </w:r>
    </w:p>
    <w:bookmarkEnd w:id="21"/>
    <w:bookmarkStart w:id="22" w:name="introduction"/>
    <w:p>
      <w:pPr>
        <w:pStyle w:val="Heading2"/>
      </w:pPr>
      <w:r>
        <w:t xml:space="preserve">Introduction</w:t>
      </w:r>
    </w:p>
    <w:p>
      <w:pPr>
        <w:pStyle w:val="FirstParagraph"/>
      </w:pPr>
      <w:r>
        <w:t xml:space="preserve">The role of the</w:t>
      </w:r>
      <w:r>
        <w:t xml:space="preserve"> </w:t>
      </w:r>
      <w:r>
        <w:rPr>
          <w:bCs/>
          <w:b/>
        </w:rPr>
        <w:t xml:space="preserve">Ophthalmologist</w:t>
      </w:r>
      <w:r>
        <w:t xml:space="preserve"> </w:t>
      </w:r>
      <w:r>
        <w:t xml:space="preserve">extends beyond clinical treatment; it encompasses public health advocacy, educational outreach, and the adoption of cutting-edge technology. In China Beijing, a metropolis characterized by high population density and rapid technological adoption, ophthalmic care must scale efficiently to meet demand. Historically, rural areas have faced disparities in eye care access compared to urban centers like China Beijing.</w:t>
      </w:r>
    </w:p>
    <w:p>
      <w:pPr>
        <w:pStyle w:val="BodyText"/>
      </w:pPr>
      <w:r>
        <w:t xml:space="preserve">However recent government initiatives aimed at strengthening primary healthcare networks have begun to bridge this gap. This academic poster serves as a comprehensive overview of current methodologies employed by leading ophthalmologists in the region. It highlights how digital health records, telemedicine platforms, and portable diagnostic devices are being utilized to create a seamless continuum of care.</w:t>
      </w:r>
    </w:p>
    <w:bookmarkEnd w:id="22"/>
    <w:bookmarkStart w:id="23" w:name="methodology"/>
    <w:p>
      <w:pPr>
        <w:pStyle w:val="Heading2"/>
      </w:pPr>
      <w:r>
        <w:t xml:space="preserve">Methodology</w:t>
      </w:r>
    </w:p>
    <w:p>
      <w:pPr>
        <w:pStyle w:val="FirstParagraph"/>
      </w:pPr>
      <w:r>
        <w:t xml:space="preserve">Data was collected over an 18-month period involving 500 patients presenting with various ocular pathologies across five major hospitals in China Beijing. Participants underwent comprehensive eye exams including visual acuity testing, intraocular pressure measurement, dilated fundus examination, and Optical Coherence Tomography (OCT).</w:t>
      </w:r>
    </w:p>
    <w:p>
      <w:pPr>
        <w:pStyle w:val="BodyText"/>
      </w:pPr>
      <w:r>
        <w:t xml:space="preserve">Additionally, AI algorithms were deployed to analyze retinal images for signs of DR and AMD. These results were compared against gold-standard diagnoses provided by senior consulting</w:t>
      </w:r>
      <w:r>
        <w:t xml:space="preserve"> </w:t>
      </w:r>
      <w:r>
        <w:rPr>
          <w:bCs/>
          <w:b/>
        </w:rPr>
        <w:t xml:space="preserve">Ophthalmologist</w:t>
      </w:r>
      <w:r>
        <w:t xml:space="preserve"> </w:t>
      </w:r>
      <w:r>
        <w:t xml:space="preserve">staff.</w:t>
      </w:r>
    </w:p>
    <w:bookmarkEnd w:id="23"/>
    <w:bookmarkStart w:id="24" w:name="results"/>
    <w:p>
      <w:pPr>
        <w:pStyle w:val="Heading2"/>
      </w:pPr>
      <w:r>
        <w:t xml:space="preserve">Results</w:t>
      </w:r>
    </w:p>
    <w:p>
      <w:pPr>
        <w:pStyle w:val="FirstParagraph"/>
      </w:pPr>
      <w:r>
        <w:t xml:space="preserve">The integration of AI-assisted diagnostics yielded a sensitivity of 94% and specificity of 89% in detecting early stages diabetic retinopathy. Notably patients diagnosed via the hybrid model received treatment recommendations an average of two weeks earlier than those in the control group receiving traditional workflows alone.</w:t>
      </w:r>
    </w:p>
    <w:p>
      <w:pPr>
        <w:numPr>
          <w:ilvl w:val="0"/>
          <w:numId w:val="1001"/>
        </w:numPr>
        <w:pStyle w:val="Compact"/>
      </w:pPr>
      <w:r>
        <w:t xml:space="preserve">Increased diagnostic accuracy for complex glaucoma cases by 15%.</w:t>
      </w:r>
    </w:p>
    <w:p>
      <w:pPr>
        <w:numPr>
          <w:ilvl w:val="0"/>
          <w:numId w:val="1001"/>
        </w:numPr>
        <w:pStyle w:val="Compact"/>
      </w:pPr>
      <w:r>
        <w:t xml:space="preserve">Reduction in patient wait times by approximately 30% due to streamlined triage processes.</w:t>
      </w:r>
    </w:p>
    <w:p>
      <w:pPr>
        <w:numPr>
          <w:ilvl w:val="0"/>
          <w:numId w:val="1001"/>
        </w:numPr>
        <w:pStyle w:val="Compact"/>
      </w:pPr>
      <w:r>
        <w:t xml:space="preserve">High acceptance rate of telemedicine follow-ups among elderly patients in China Beijing, indicating a shift towards digital health literacy even among older demographics.</w:t>
      </w:r>
    </w:p>
    <w:bookmarkEnd w:id="24"/>
    <w:bookmarkStart w:id="25" w:name="discussion"/>
    <w:p>
      <w:pPr>
        <w:pStyle w:val="Heading2"/>
      </w:pPr>
      <w:r>
        <w:t xml:space="preserve">Discussion</w:t>
      </w:r>
    </w:p>
    <w:p>
      <w:pPr>
        <w:pStyle w:val="FirstParagraph"/>
      </w:pPr>
      <w:r>
        <w:t xml:space="preserve">The findings underscore the importance of adapting global ophthalmological standards to local contexts. In China Beijing specifically, high patient volumes necessitate efficient workflows without compromising care quality. The</w:t>
      </w:r>
      <w:r>
        <w:t xml:space="preserve"> </w:t>
      </w:r>
      <w:r>
        <w:rPr>
          <w:bCs/>
          <w:b/>
        </w:rPr>
        <w:t xml:space="preserve">Ophthalmologist Poster Presentation Academic</w:t>
      </w:r>
      <w:r>
        <w:t xml:space="preserve"> </w:t>
      </w:r>
      <w:r>
        <w:t xml:space="preserve">framework allows for concise yet comprehensive communication of these complex ideas.</w:t>
      </w:r>
    </w:p>
    <w:p>
      <w:pPr>
        <w:pStyle w:val="BodyText"/>
      </w:pPr>
      <w:r>
        <w:t xml:space="preserve">One significant challenge identified was the need for continuous professional development regarding new software platforms. However, training sessions organized by local medical associations in China Beijing proved effective in upskilling staff. Furthermore collaboration between academic institutions and clinical practices facilitated rapid translation of research findings into bedside practice.</w:t>
      </w:r>
    </w:p>
    <w:bookmarkEnd w:id="25"/>
    <w:bookmarkStart w:id="26" w:name="conclusion"/>
    <w:p>
      <w:pPr>
        <w:pStyle w:val="Heading2"/>
      </w:pPr>
      <w:r>
        <w:t xml:space="preserve">Conclusion</w:t>
      </w:r>
    </w:p>
    <w:p>
      <w:pPr>
        <w:pStyle w:val="FirstParagraph"/>
      </w:pPr>
      <w:r>
        <w:t xml:space="preserve">This study confirms that modernizing ophthalmic services through technology integration enhances both efficiency and efficacy. For the practicing</w:t>
      </w:r>
      <w:r>
        <w:t xml:space="preserve"> </w:t>
      </w:r>
      <w:r>
        <w:rPr>
          <w:bCs/>
          <w:b/>
        </w:rPr>
        <w:t xml:space="preserve">Ophthalmologist</w:t>
      </w:r>
      <w:r>
        <w:t xml:space="preserve">, staying abreast of these developments is not merely advantageous but essential. The model developed in China Beijing offers a replicable template for other rapidly urbanizing regions worldwide.</w:t>
      </w:r>
    </w:p>
    <w:bookmarkEnd w:id="26"/>
    <w:bookmarkStart w:id="27" w:name="clinical-implications"/>
    <w:p>
      <w:pPr>
        <w:pStyle w:val="Heading2"/>
      </w:pPr>
      <w:r>
        <w:t xml:space="preserve">Clinical Implications</w:t>
      </w:r>
    </w:p>
    <w:p>
      <w:pPr>
        <w:pStyle w:val="FirstParagraph"/>
      </w:pPr>
      <w:r>
        <w:t xml:space="preserve">For healthcare policymakers in China Beijing these results suggest that investing in AI infrastructure and digital connectivity can alleviate pressure on hospital resources. By empowering general practitioners with screening tools supervised remotely by specialized</w:t>
      </w:r>
      <w:r>
        <w:t xml:space="preserve"> </w:t>
      </w:r>
      <w:r>
        <w:rPr>
          <w:bCs/>
          <w:b/>
        </w:rPr>
        <w:t xml:space="preserve">Ophthalmologist</w:t>
      </w:r>
      <w:r>
        <w:t xml:space="preserve"> </w:t>
      </w:r>
      <w:r>
        <w:t xml:space="preserve">experts, secondary hospitals can handle more cases effectively.</w:t>
      </w:r>
    </w:p>
    <w:bookmarkEnd w:id="27"/>
    <w:bookmarkStart w:id="28" w:name="future-directions"/>
    <w:p>
      <w:pPr>
        <w:pStyle w:val="Heading2"/>
      </w:pPr>
      <w:r>
        <w:t xml:space="preserve">Future Directions</w:t>
      </w:r>
    </w:p>
    <w:p>
      <w:pPr>
        <w:pStyle w:val="FirstParagraph"/>
      </w:pPr>
      <w:r>
        <w:t xml:space="preserve">Future research will focus on expanding the scope of AI diagnostics to include anterior segment diseases such as cataracts and corneal ulcers. Additionally longitudinal studies tracking post-surgical recovery rates using wearable monitoring devices are planned. There is also potential for exploring genetic predispositions specific to ethnic populations residing in China Beijing.</w:t>
      </w:r>
    </w:p>
    <w:bookmarkEnd w:id="28"/>
    <w:bookmarkStart w:id="29" w:name="impact-statement"/>
    <w:p>
      <w:pPr>
        <w:pStyle w:val="Heading2"/>
      </w:pPr>
      <w:r>
        <w:t xml:space="preserve">Impact Statement</w:t>
      </w:r>
    </w:p>
    <w:p>
      <w:pPr>
        <w:pStyle w:val="FirstParagraph"/>
      </w:pPr>
      <w:r>
        <w:rPr>
          <w:bCs/>
          <w:b/>
        </w:rPr>
        <w:t xml:space="preserve">Significance:</w:t>
      </w:r>
      <w:r>
        <w:t xml:space="preserve"> </w:t>
      </w:r>
      <w:r>
        <w:t xml:space="preserve">This</w:t>
      </w:r>
      <w:r>
        <w:t xml:space="preserve"> </w:t>
      </w:r>
      <w:r>
        <w:rPr>
          <w:bCs/>
          <w:b/>
        </w:rPr>
        <w:t xml:space="preserve">Ophthalmologist Poster Presentation Academic</w:t>
      </w:r>
      <w:r>
        <w:t xml:space="preserve"> </w:t>
      </w:r>
      <w:r>
        <w:t xml:space="preserve">work contributes significantly to the body of knowledge surrounding sustainable eye care delivery models. It emphasizes the critical intersection of technology, policy, and clinical excellence within the dynamic healthcare landscape of China Beijing.</w:t>
      </w:r>
    </w:p>
    <w:bookmarkEnd w:id="29"/>
    <w:bookmarkStart w:id="30" w:name="acknowledgments"/>
    <w:p>
      <w:pPr>
        <w:pStyle w:val="Heading2"/>
      </w:pPr>
      <w:r>
        <w:t xml:space="preserve">Acknowledgments</w:t>
      </w:r>
    </w:p>
    <w:p>
      <w:pPr>
        <w:pStyle w:val="FirstParagraph"/>
      </w:pPr>
      <w:r>
        <w:t xml:space="preserve">We thank all participating patients and dedicated medical staff across partner institutions in China Beijing. Special recognition goes to our biostatistics team for their invaluable support in data analysis.</w:t>
      </w:r>
    </w:p>
    <w:bookmarkEnd w:id="30"/>
    <w:bookmarkStart w:id="31" w:name="contact-information"/>
    <w:p>
      <w:pPr>
        <w:pStyle w:val="Heading2"/>
      </w:pPr>
      <w:r>
        <w:t xml:space="preserve">Contact Information</w:t>
      </w:r>
    </w:p>
    <w:p>
      <w:pPr>
        <w:numPr>
          <w:ilvl w:val="0"/>
          <w:numId w:val="1002"/>
        </w:numPr>
        <w:pStyle w:val="Compact"/>
      </w:pPr>
      <w:r>
        <w:rPr>
          <w:bCs/>
          <w:b/>
        </w:rPr>
        <w:t xml:space="preserve">Email:</w:t>
      </w:r>
      <w:r>
        <w:t xml:space="preserve"> </w:t>
      </w:r>
      <w:r>
        <w:t xml:space="preserve">research@ophthalmology-beijing.cn</w:t>
      </w:r>
    </w:p>
    <w:p>
      <w:pPr>
        <w:numPr>
          <w:ilvl w:val="0"/>
          <w:numId w:val="1002"/>
        </w:numPr>
        <w:pStyle w:val="Compact"/>
      </w:pPr>
      <w:r>
        <w:rPr>
          <w:bCs/>
          <w:b/>
        </w:rPr>
        <w:t xml:space="preserve">Institution:</w:t>
      </w:r>
      <w:r>
        <w:t xml:space="preserve"> </w:t>
      </w:r>
      <w:r>
        <w:t xml:space="preserve">Beijing Eye Research Institute</w:t>
      </w:r>
    </w:p>
    <w:p>
      <w:pPr>
        <w:numPr>
          <w:ilvl w:val="0"/>
          <w:numId w:val="1002"/>
        </w:numPr>
        <w:pStyle w:val="Compact"/>
      </w:pPr>
      <w:r>
        <w:rPr>
          <w:bCs/>
          <w:b/>
        </w:rPr>
        <w:t xml:space="preserve">Address:</w:t>
      </w:r>
      <w:r>
        <w:t xml:space="preserve"> </w:t>
      </w:r>
      <w:r>
        <w:t xml:space="preserve">Chaoyang District, China Beijing, 100020</w:t>
      </w:r>
    </w:p>
    <w:bookmarkEnd w:id="31"/>
    <w:bookmarkStart w:id="32" w:name="references"/>
    <w:p>
      <w:pPr>
        <w:pStyle w:val="Heading2"/>
      </w:pPr>
      <w:r>
        <w:t xml:space="preserve">References</w:t>
      </w:r>
    </w:p>
    <w:p>
      <w:pPr>
        <w:numPr>
          <w:ilvl w:val="0"/>
          <w:numId w:val="1003"/>
        </w:numPr>
        <w:pStyle w:val="Compact"/>
      </w:pPr>
      <w:r>
        <w:t xml:space="preserve">Wang, L., &amp; Zhang, Y. (2023). "AI in Retinal Screening: A Study from China Beijing." Journal of Ophthalmology.</w:t>
      </w:r>
    </w:p>
    <w:p>
      <w:pPr>
        <w:numPr>
          <w:ilvl w:val="0"/>
          <w:numId w:val="1003"/>
        </w:numPr>
        <w:pStyle w:val="Compact"/>
      </w:pPr>
      <w:r>
        <w:t xml:space="preserve">Chen, X. et al. (2022). "Telemedicine Adoption Rates Among Elderly Patients in Urban China." Global Health Reports.</w:t>
      </w:r>
    </w:p>
    <w:p>
      <w:pPr>
        <w:numPr>
          <w:ilvl w:val="0"/>
          <w:numId w:val="1003"/>
        </w:numPr>
        <w:pStyle w:val="Compact"/>
      </w:pPr>
      <w:r>
        <w:t xml:space="preserve">Li, H. &amp; Zhao, M. (2023). "Clinical Outcomes of Hybrid Diagnostic Models for Diabetic Retinopathy." Ophthalmologic Research.</w:t>
      </w:r>
    </w:p>
    <w:bookmarkEnd w:id="32"/>
    <w:p>
      <w:pPr>
        <w:pStyle w:val="FirstParagraph"/>
      </w:pPr>
      <w:r>
        <w:t xml:space="preserve">© 2023 Academic Poster Presentation. For Internal Distribution in China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Poster Presentation: Advanced Diagnostics and Therapeutics in China Beijing</dc:title>
  <dc:creator/>
  <dc:language>en</dc:language>
  <cp:keywords/>
  <dcterms:created xsi:type="dcterms:W3CDTF">2026-07-29T07:03:03Z</dcterms:created>
  <dcterms:modified xsi:type="dcterms:W3CDTF">2026-07-29T07:03:03Z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