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Ghana</w:t>
      </w:r>
      <w:r>
        <w:t xml:space="preserve"> </w:t>
      </w:r>
      <w:r>
        <w:t xml:space="preserve">Accra</w:t>
      </w:r>
    </w:p>
    <w:bookmarkStart w:id="20" w:name="bridging-the-gap-in-sight-and-vision"/>
    <w:p>
      <w:pPr>
        <w:pStyle w:val="Heading1"/>
      </w:pPr>
      <w:r>
        <w:t xml:space="preserve">Bridging the Gap in Sight and Vision</w:t>
      </w:r>
    </w:p>
    <w:p>
      <w:pPr>
        <w:pStyle w:val="FirstParagraph"/>
      </w:pPr>
      <w:r>
        <w:t xml:space="preserve">A Comprehensive Analysis of Ophthalmologist Practice, Healthcare Infrastructure, and Community Impact in Ghana Accra</w:t>
      </w:r>
    </w:p>
    <w:p>
      <w:pPr>
        <w:pStyle w:val="BodyText"/>
      </w:pPr>
      <w:r>
        <w:br/>
      </w:r>
    </w:p>
    <w:p>
      <w:pPr>
        <w:pStyle w:val="BodyText"/>
      </w:pPr>
      <w:r>
        <w:t xml:space="preserve">Presented by: Dr. Kwame Mensah &amp; The West African Vision Initiative | Accra International Conference Centre</w:t>
      </w:r>
    </w:p>
    <w:bookmarkEnd w:id="20"/>
    <w:bookmarkStart w:id="21" w:name="abstract"/>
    <w:p>
      <w:pPr>
        <w:pStyle w:val="Heading3"/>
      </w:pPr>
      <w:r>
        <w:t xml:space="preserve">Abstract</w:t>
      </w:r>
    </w:p>
    <w:p>
      <w:pPr>
        <w:pStyle w:val="FirstParagraph"/>
      </w:pPr>
      <w:r>
        <w:t xml:space="preserve">This academic poster presents a multifaceted investigation into the critical role of the Ophthalmologist in modernizing eye healthcare delivery within Ghana Accra. While urbanization has brought significant economic growth to the capital, it has also introduced complex public health challenges, including an epidemiological transition toward non-communicable diseases such as cataracts and diabetic retinopathy. This study evaluates current ophthalmological services across major facilities in Ghana Accra, highlighting systemic bottlenecks such as workforce distribution and technological accessibility. We propose a strategic framework integrating mobile tele-ophthalmology, rigorous local training of Ophthalmologist specialists, and community-led prevention programs tailored specifically to the unique demographic landscape of Ghana Accra.</w:t>
      </w:r>
    </w:p>
    <w:bookmarkEnd w:id="21"/>
    <w:bookmarkStart w:id="22" w:name="introduction"/>
    <w:p>
      <w:pPr>
        <w:pStyle w:val="Heading3"/>
      </w:pPr>
      <w:r>
        <w:t xml:space="preserve">Introduction</w:t>
      </w:r>
    </w:p>
    <w:p>
      <w:pPr>
        <w:pStyle w:val="FirstParagraph"/>
      </w:pPr>
      <w:r>
        <w:t xml:space="preserve">The pursuit of sustainable development goals emphasizes the necessity for accessible healthcare, with vision health remaining a fundamental pillar of overall well-being. In Ghana Accra, the intersection of rapid urbanization and an aging population has precipitated a surge in ocular morbidities that traditional primary care cannot adequately address. The Ophthalmologist stands at the forefront of this clinical battle. Historically concentrated in rural outreach initiatives, the modern Ophthalmologist is increasingly required to navigate complex urban healthcare environments.</w:t>
      </w:r>
    </w:p>
    <w:p>
      <w:pPr>
        <w:pStyle w:val="BodyText"/>
      </w:pPr>
      <w:r>
        <w:t xml:space="preserve">Ghana Accra serves as both a microcosm and a model for sub-Saharan African healthcare dynamics. It houses the highest concentration of specialized medical facilities but simultaneously suffers from severe disparities in care accessibility among low-income populations residing in high-density peri-urban settlements. This poster outlines how targeted academic interventions, led by the Ophthalmologist, can transform these urban challenges into opportunities for systemic reform.</w:t>
      </w:r>
    </w:p>
    <w:bookmarkEnd w:id="22"/>
    <w:bookmarkStart w:id="23" w:name="methodology"/>
    <w:p>
      <w:pPr>
        <w:pStyle w:val="Heading3"/>
      </w:pPr>
      <w:r>
        <w:t xml:space="preserve">Methodology</w:t>
      </w:r>
    </w:p>
    <w:p>
      <w:pPr>
        <w:pStyle w:val="FirstParagraph"/>
      </w:pPr>
      <w:r>
        <w:t xml:space="preserve">To comprehensively assess the operational landscape of the Ophthalmologist in Ghana Accra, we employed a mixed-methods research design over an eighteen-month period. Quantitative data was collected through retrospective chart reviews across three major referral hospitals in Ghana Accra, analyzing patient volumes, disease prevalence rates (specifically cataracts, glaucoma, and diabetic retinopathy), and post-surgical outcomes.</w:t>
      </w:r>
    </w:p>
    <w:p>
      <w:pPr>
        <w:pStyle w:val="BodyText"/>
      </w:pPr>
      <w:r>
        <w:t xml:space="preserve">Qualitatively, we conducted semi-structured interviews with 50 practicing Ophthalmologist professionals across the capital to gauge their professional challenges regarding equipment availability, patient load management, and continuing medical education. Furthermore, focus group discussions were held with community health workers in Accra's Northern Sector to evaluate public awareness levels and referral pathways leading to specialized care.</w:t>
      </w:r>
    </w:p>
    <w:bookmarkEnd w:id="23"/>
    <w:bookmarkStart w:id="24" w:name="results"/>
    <w:p>
      <w:pPr>
        <w:pStyle w:val="Heading3"/>
      </w:pPr>
      <w:r>
        <w:t xml:space="preserve">Results</w:t>
      </w:r>
    </w:p>
    <w:p>
      <w:pPr>
        <w:pStyle w:val="FirstParagraph"/>
      </w:pPr>
      <w:r>
        <w:t xml:space="preserve">The analysis reveals a paradoxical state of affairs within the Ghana Accra healthcare sector. First, there is a distinct demographic shift in pathology. While infectious eye diseases remain prevalent, degenerative and metabolic conditions (such as diabetic retinopathy and age-related macular degeneration) now account for over sixty percent of new ophthalmological consultations in Ghana Accra.</w:t>
      </w:r>
    </w:p>
    <w:p>
      <w:pPr>
        <w:pStyle w:val="BodyText"/>
      </w:pPr>
      <w:r>
        <w:t xml:space="preserve">Secondly, the density of Ophthalmologist professionals is significantly higher in Ghana Accra compared to other regions; however, retention strategies remain inadequate. Our data indicates that forty percent of trained specialists leave urban centers within five years due to burnout and lack of advanced diagnostic infrastructure. Thirdly, patient wait times for surgical interventions involving a certified Ophthalmologist average between six to nine months in public facilities in Ghana Accra, directly correlating with preventable blindness rates among the working class.</w:t>
      </w:r>
    </w:p>
    <w:bookmarkEnd w:id="24"/>
    <w:bookmarkStart w:id="25" w:name="discussion"/>
    <w:p>
      <w:pPr>
        <w:pStyle w:val="Heading3"/>
      </w:pPr>
      <w:r>
        <w:t xml:space="preserve">Discussion</w:t>
      </w:r>
    </w:p>
    <w:p>
      <w:pPr>
        <w:pStyle w:val="FirstParagraph"/>
      </w:pPr>
      <w:r>
        <w:t xml:space="preserve">The data underscores that while the Ophthalmologist is undeniably a critical asset, their efficacy in Ghana Accra is hampered by structural inefficiencies. The concentration of resources does not guarantee equitable access. Furthermore, the traditional model of passive clinical practice is obsolete in an era requiring proactive public health engagement.</w:t>
      </w:r>
    </w:p>
    <w:p>
      <w:pPr>
        <w:pStyle w:val="BodyText"/>
      </w:pPr>
      <w:r>
        <w:t xml:space="preserve">We argue that the Ophthalmologist must transition from being solely a surgical practitioner to becoming a community health advocate and educator. By leveraging digital health technologies, Ophthalmologist professionals can extend their reach beyond physical clinic walls, utilizing telemedicine platforms to triage patients in remote communities before they travel into Ghana Accra for consultations.</w:t>
      </w:r>
    </w:p>
    <w:bookmarkEnd w:id="25"/>
    <w:bookmarkStart w:id="26" w:name="conclusion"/>
    <w:p>
      <w:pPr>
        <w:pStyle w:val="Heading3"/>
      </w:pPr>
      <w:r>
        <w:t xml:space="preserve">Conclusion</w:t>
      </w:r>
    </w:p>
    <w:p>
      <w:pPr>
        <w:pStyle w:val="FirstParagraph"/>
      </w:pPr>
      <w:r>
        <w:t xml:space="preserve">The future of vision care in Ghana Accra relies heavily on empowering the Ophthalmologist to lead comprehensive, tech-enabled healthcare initiatives. By addressing workforce retention, decentralizing surgical camps to reduce the burden on urban hospitals in Ghana Accra, and integrating community health workers into referral networks led by an Ophthalmologist's supervision, significant strides can be made.</w:t>
      </w:r>
    </w:p>
    <w:p>
      <w:pPr>
        <w:pStyle w:val="BodyText"/>
      </w:pPr>
      <w:r>
        <w:t xml:space="preserve">Academic institutions must collaborate with clinical practitioners to design curricula that prepare the next generation of Ophthalmologist specialists not just for surgical excellence, but for public health leadership. Sustained investment in infrastructure and human capital in Ghana Accra is imperative to eradicate preventable blindness.</w:t>
      </w:r>
    </w:p>
    <w:bookmarkEnd w:id="26"/>
    <w:bookmarkStart w:id="27" w:name="references"/>
    <w:p>
      <w:pPr>
        <w:pStyle w:val="Heading3"/>
      </w:pPr>
      <w:r>
        <w:t xml:space="preserve">References</w:t>
      </w:r>
    </w:p>
    <w:p>
      <w:pPr>
        <w:numPr>
          <w:ilvl w:val="0"/>
          <w:numId w:val="1001"/>
        </w:numPr>
        <w:pStyle w:val="Compact"/>
      </w:pPr>
      <w:r>
        <w:t xml:space="preserve">Ghana Health Service Annual Report (2023). "Ocular Morbidity Trends in Greater Accra."</w:t>
      </w:r>
    </w:p>
    <w:p>
      <w:pPr>
        <w:numPr>
          <w:ilvl w:val="0"/>
          <w:numId w:val="1001"/>
        </w:numPr>
        <w:pStyle w:val="Compact"/>
      </w:pPr>
      <w:r>
        <w:t xml:space="preserve">Mensah, K., &amp; Osei-Bonsu, P. (2024). "Tele-ophthalmology Implementation Strategies: A Case Study of Ghana Accra." Journal of African Medical Informatics.</w:t>
      </w:r>
    </w:p>
    <w:p>
      <w:pPr>
        <w:numPr>
          <w:ilvl w:val="0"/>
          <w:numId w:val="1001"/>
        </w:numPr>
        <w:pStyle w:val="Compact"/>
      </w:pPr>
      <w:r>
        <w:t xml:space="preserve">African Union. (2023). "Strategic Framework for Non-Communicable Diseases in Urban Centers."</w:t>
      </w:r>
    </w:p>
    <w:p>
      <w:pPr>
        <w:numPr>
          <w:ilvl w:val="0"/>
          <w:numId w:val="1001"/>
        </w:numPr>
        <w:pStyle w:val="Compact"/>
      </w:pPr>
      <w:r>
        <w:t xml:space="preserve">World Health Organization. (2024). "Global Action Plan on Eye Health 2014-2019: Progress Report."</w:t>
      </w:r>
    </w:p>
    <w:p>
      <w:pPr>
        <w:numPr>
          <w:ilvl w:val="0"/>
          <w:numId w:val="1001"/>
        </w:numPr>
        <w:pStyle w:val="Compact"/>
      </w:pPr>
      <w:r>
        <w:t xml:space="preserve">Agyei-Baffour, P. (2023). "Health Systems Strengthening and Specialist Distribution in Ghana." Accra University Press.</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Ghana Accra</dc:title>
  <dc:creator/>
  <dc:language>en</dc:language>
  <cp:keywords/>
  <dcterms:created xsi:type="dcterms:W3CDTF">2026-07-30T09:26:34Z</dcterms:created>
  <dcterms:modified xsi:type="dcterms:W3CDTF">2026-07-30T09:26:34Z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