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Ophthalmology</w:t>
      </w:r>
      <w:r>
        <w:t xml:space="preserve"> </w:t>
      </w:r>
      <w:r>
        <w:t xml:space="preserve">Advances</w:t>
      </w:r>
      <w:r>
        <w:t xml:space="preserve"> </w:t>
      </w:r>
      <w:r>
        <w:t xml:space="preserve">in</w:t>
      </w:r>
      <w:r>
        <w:t xml:space="preserve"> </w:t>
      </w:r>
      <w:r>
        <w:t xml:space="preserve">Japan,</w:t>
      </w:r>
      <w:r>
        <w:t xml:space="preserve"> </w:t>
      </w:r>
      <w:r>
        <w:t xml:space="preserve">Tokyo</w:t>
      </w:r>
    </w:p>
    <w:bookmarkStart w:id="32" w:name="X4f9dbb338a4107320b86afeda913e69b209392f"/>
    <w:p>
      <w:pPr>
        <w:pStyle w:val="Heading1"/>
      </w:pPr>
      <w:r>
        <w:t xml:space="preserve">Visionary Frontiers in Ophthalmology:</w:t>
      </w:r>
      <w:r>
        <w:br/>
      </w:r>
      <w:r>
        <w:t xml:space="preserve">A Comparative Analysis of Clinical Practice and Technological Integration in Japan, Tokyo</w:t>
      </w:r>
    </w:p>
    <w:p>
      <w:pPr>
        <w:pStyle w:val="FirstParagraph"/>
      </w:pPr>
      <w:r>
        <w:rPr>
          <w:bCs/>
          <w:b/>
        </w:rPr>
        <w:t xml:space="preserve">Presentation for the International Symposium on Global Healthcare Standards</w:t>
      </w:r>
      <w:r>
        <w:br/>
      </w:r>
      <w:r>
        <w:t xml:space="preserve">Presenter: Dr. Hiroshi Tanaka, MD, PhD</w:t>
      </w:r>
      <w:r>
        <w:br/>
      </w:r>
      <w:r>
        <w:t xml:space="preserve">Affiliation: Department of Ophthalmology, Tokyo General Medical Center &amp; Keio University School of Medicine</w:t>
      </w:r>
      <w:r>
        <w:br/>
      </w:r>
      <w:r>
        <w:t xml:space="preserve">Location Focus: Japan, Tokyo Metropolitan Area</w:t>
      </w:r>
    </w:p>
    <w:bookmarkStart w:id="20" w:name="abstract"/>
    <w:p>
      <w:pPr>
        <w:pStyle w:val="Heading2"/>
      </w:pPr>
      <w:r>
        <w:t xml:space="preserve">Abstract</w:t>
      </w:r>
    </w:p>
    <w:p>
      <w:pPr>
        <w:pStyle w:val="FirstParagraph"/>
      </w:pPr>
      <w:r>
        <w:t xml:space="preserve">This academic poster presentation explores the evolving landscape of ophthalmology within the highly specialized healthcare ecosystem of Japan, with a specific focus on Tokyo. As one of the world's leading medical hubs, Tokyo serves as a critical testing ground for advanced ocular treatments and digital health integration. This study analyzes how ophthalmologists in Japan, particularly those practicing in dense urban centers like Shinjuku and Chiyoda wards, navigate the dual challenges of an aging demographic and rapid technological adoption. By examining clinical outcomes data from three major tertiary care hospitals in Tokyo between 2019 and 2023, this paper highlights significant advancements in laser refractive surgery, management of age-related macular degeneration (AMD), and the implementation of AI-driven diagnostic tools. The findings suggest that ophthalmologists in Japan are uniquely positioned to lead global standards due to the country’s robust healthcare infrastructure and high patient literacy regarding eye health.</w:t>
      </w:r>
    </w:p>
    <w:bookmarkEnd w:id="20"/>
    <w:bookmarkStart w:id="23" w:name="X80099620428e05ce0bec1c03f7af9de4779b14f"/>
    <w:p>
      <w:pPr>
        <w:pStyle w:val="Heading2"/>
      </w:pPr>
      <w:r>
        <w:t xml:space="preserve">1. Introduction: The Unique Context of Japan, Tokyo</w:t>
      </w:r>
    </w:p>
    <w:bookmarkStart w:id="21" w:name="the-demographic-imperative"/>
    <w:p>
      <w:pPr>
        <w:pStyle w:val="Heading3"/>
      </w:pPr>
      <w:r>
        <w:t xml:space="preserve">The Demographic Imperative</w:t>
      </w:r>
    </w:p>
    <w:p>
      <w:pPr>
        <w:pStyle w:val="FirstParagraph"/>
      </w:pPr>
      <w:r>
        <w:t xml:space="preserve">Japan holds the distinction of having the oldest population in the world, a demographic reality that profoundly impacts healthcare systems. In Tokyo, this trend is accelerated by urbanization and lifestyle factors unique to metropolitan living. For ophthalmologists practicing in Japan, specifically within Tokyo's high-pressure medical environment, age-related ocular pathologies constitute a significant portion of daily caseloads. This includes cataracts, glaucoma, diabetic retinopathy from diabetes mellitus type 2 prevalence, and wet AMD.</w:t>
      </w:r>
    </w:p>
    <w:bookmarkEnd w:id="21"/>
    <w:bookmarkStart w:id="22" w:name="the-role-of-the-academic-ophthalmologist"/>
    <w:p>
      <w:pPr>
        <w:pStyle w:val="Heading3"/>
      </w:pPr>
      <w:r>
        <w:t xml:space="preserve">The Role of the Academic Ophthalmologist</w:t>
      </w:r>
    </w:p>
    <w:p>
      <w:pPr>
        <w:pStyle w:val="FirstParagraph"/>
      </w:pPr>
      <w:r>
        <w:t xml:space="preserve">In Japan, the role of the ophthalmologist extends beyond clinical treatment into rigorous academic research. Institutions in Tokyo serve as nexus points where theoretical medical knowledge is converted into practical surgical innovations. This poster emphasizes that ophthalmologists here are not merely practitioners but innovators who contribute to global ophthalmological literature through multi-center trials hosted in Japanese facilities.</w:t>
      </w:r>
    </w:p>
    <w:bookmarkEnd w:id="22"/>
    <w:bookmarkEnd w:id="23"/>
    <w:bookmarkStart w:id="24" w:name="methodology-data-collection-in-tokyo"/>
    <w:p>
      <w:pPr>
        <w:pStyle w:val="Heading2"/>
      </w:pPr>
      <w:r>
        <w:t xml:space="preserve">2. Methodology: Data Collection in Tokyo</w:t>
      </w:r>
    </w:p>
    <w:p>
      <w:pPr>
        <w:pStyle w:val="FirstParagraph"/>
      </w:pPr>
      <w:r>
        <w:t xml:space="preserve">To evaluate the current state of ophthalmic care, this presentation utilizes a mixed-methods approach focusing on data collected from leading ophthalmological centers in Japan, Tokyo. The study period covers five years, capturing pre- and post-pandemic adjustments in patient flow and treatment protocols.</w:t>
      </w:r>
    </w:p>
    <w:p>
      <w:pPr>
        <w:numPr>
          <w:ilvl w:val="0"/>
          <w:numId w:val="1001"/>
        </w:numPr>
        <w:pStyle w:val="Compact"/>
      </w:pPr>
      <w:r>
        <w:rPr>
          <w:bCs/>
          <w:b/>
        </w:rPr>
        <w:t xml:space="preserve">Data Source:</w:t>
      </w:r>
      <w:r>
        <w:t xml:space="preserve"> </w:t>
      </w:r>
      <w:r>
        <w:t xml:space="preserve">Retrospective analysis of electronic health records (EHR) from three top-tier ophthalmology clinics in Tokyo.</w:t>
      </w:r>
    </w:p>
    <w:p>
      <w:pPr>
        <w:numPr>
          <w:ilvl w:val="0"/>
          <w:numId w:val="1001"/>
        </w:numPr>
        <w:pStyle w:val="Compact"/>
      </w:pPr>
      <w:r>
        <w:rPr>
          <w:bCs/>
          <w:b/>
        </w:rPr>
        <w:t xml:space="preserve">Patient Cohort:</w:t>
      </w:r>
      <w:r>
        <w:t xml:space="preserve"> </w:t>
      </w:r>
      <w:r>
        <w:t xml:space="preserve">A total of 5,200 patients were analyzed, with a mean age of 68 years. The majority presented with refractive errors or early-stage degenerative diseases.</w:t>
      </w:r>
    </w:p>
    <w:p>
      <w:pPr>
        <w:numPr>
          <w:ilvl w:val="0"/>
          <w:numId w:val="1001"/>
        </w:numPr>
        <w:pStyle w:val="Compact"/>
      </w:pPr>
      <w:r>
        <w:rPr>
          <w:bCs/>
          <w:b/>
        </w:rPr>
        <w:t xml:space="preserve">Technological Variables:</w:t>
      </w:r>
      <w:r>
        <w:t xml:space="preserve"> </w:t>
      </w:r>
      <w:r>
        <w:t xml:space="preserve">We measured the adoption rate of Optical Coherence Tomography Angiography (OCTA) and Femtosecond Laser-Assisted Cataract Surgery (FLACS).</w:t>
      </w:r>
    </w:p>
    <w:p>
      <w:pPr>
        <w:numPr>
          <w:ilvl w:val="0"/>
          <w:numId w:val="1001"/>
        </w:numPr>
        <w:pStyle w:val="Compact"/>
      </w:pPr>
      <w:r>
        <w:rPr>
          <w:bCs/>
          <w:b/>
        </w:rPr>
        <w:t xml:space="preserve">Ethical Considerations:</w:t>
      </w:r>
      <w:r>
        <w:t xml:space="preserve">All data collection adhered strictly to the ethical guidelines established by the Ministry of Health, Labour and Welfare in Japan, ensuring patient anonymity.</w:t>
      </w:r>
    </w:p>
    <w:bookmarkEnd w:id="24"/>
    <w:bookmarkStart w:id="28" w:name="results-innovations-in-ophthalmic-care"/>
    <w:p>
      <w:pPr>
        <w:pStyle w:val="Heading2"/>
      </w:pPr>
      <w:r>
        <w:t xml:space="preserve">3. Results: Innovations in Ophthalmic Care</w:t>
      </w:r>
    </w:p>
    <w:bookmarkStart w:id="25" w:name="a.-refractive-surgery-precision"/>
    <w:p>
      <w:pPr>
        <w:pStyle w:val="Heading3"/>
      </w:pPr>
      <w:r>
        <w:t xml:space="preserve">A. Refractive Surgery Precision</w:t>
      </w:r>
    </w:p>
    <w:p>
      <w:pPr>
        <w:pStyle w:val="FirstParagraph"/>
      </w:pPr>
      <w:r>
        <w:t xml:space="preserve">Ophthalmologists specializing in refractive surgery in Tokyo have demonstrated superior outcomes when utilizing wavefront-guided LASIK and SMILE (Small Incision Lenticule Extraction) procedures. The data indicates a 98% success rate in achieving uncorrected visual acuity of 20/20 or better among patients aged under 50. This precision is attributed to the high level of training and the state-of-the-art equipment available in Japanese clinics, which are often equipped with the latest generation topography-guided systems.</w:t>
      </w:r>
    </w:p>
    <w:bookmarkEnd w:id="25"/>
    <w:bookmarkStart w:id="26" w:name="X739a493748c6691274576f0c922302a802e7f05"/>
    <w:p>
      <w:pPr>
        <w:pStyle w:val="Heading3"/>
      </w:pPr>
      <w:r>
        <w:t xml:space="preserve">B. Management of Age-Related Macular Degeneration (AMD)</w:t>
      </w:r>
    </w:p>
    <w:p>
      <w:pPr>
        <w:pStyle w:val="FirstParagraph"/>
      </w:pPr>
      <w:r>
        <w:t xml:space="preserve">In treating wet AMD, ophthalmologists in Japan have increasingly adopted anti-VEGF therapies with extended dosing intervals. Our analysis shows that patients treated in Tokyo centers require fewer intravitreal injections compared to global averages, largely due to improved monitoring tools and personalized treatment plans developed by academic specialists.</w:t>
      </w:r>
    </w:p>
    <w:bookmarkEnd w:id="26"/>
    <w:bookmarkStart w:id="27" w:name="c.-ai-integration-in-diagnostics"/>
    <w:p>
      <w:pPr>
        <w:pStyle w:val="Heading3"/>
      </w:pPr>
      <w:r>
        <w:t xml:space="preserve">C. AI Integration in Diagnostics</w:t>
      </w:r>
    </w:p>
    <w:p>
      <w:pPr>
        <w:pStyle w:val="FirstParagraph"/>
      </w:pPr>
      <w:r>
        <w:t xml:space="preserve">A critical finding of this presentation is the seamless integration of Artificial Intelligence (AI) into routine screenings in Tokyo. Ophthalmologists utilize AI algorithms to detect diabetic retinopathy with an accuracy exceeding 95%. This technology allows for early intervention, significantly reducing the burden on hospital resources while improving patient prognosis.</w:t>
      </w:r>
    </w:p>
    <w:bookmarkEnd w:id="27"/>
    <w:bookmarkEnd w:id="28"/>
    <w:bookmarkStart w:id="29" w:name="discussion-challenges-and-opportunities"/>
    <w:p>
      <w:pPr>
        <w:pStyle w:val="Heading2"/>
      </w:pPr>
      <w:r>
        <w:t xml:space="preserve">4. Discussion: Challenges and Opportunities</w:t>
      </w:r>
    </w:p>
    <w:p>
      <w:pPr>
        <w:pStyle w:val="FirstParagraph"/>
      </w:pPr>
      <w:r>
        <w:t xml:space="preserve">The landscape of ophthalmology in Japan is complex. While Tokyo offers world-class facilities, ophthalmologists face significant challenges regarding workload management due to high patient volume. The concept of "karoshi" (death by overwork) has prompted hospitals to implement stricter shift rotations and automated administrative tasks, allowing ophthalmologists to focus more on patient interaction and surgical precision.</w:t>
      </w:r>
    </w:p>
    <w:p>
      <w:pPr>
        <w:pStyle w:val="BodyText"/>
      </w:pPr>
      <w:r>
        <w:t xml:space="preserve">Furthermore, there is a growing emphasis on interdisciplinary collaboration. Ophthalmologists in Japan frequently consult with endocrinologists for diabetic care and cardiologists for glaucoma management (given the link between ocular perfusion pressure and cardiovascular health). This holistic approach ensures that systemic conditions affecting eye health are managed comprehensively.</w:t>
      </w:r>
    </w:p>
    <w:p>
      <w:pPr>
        <w:pStyle w:val="BodyText"/>
      </w:pPr>
      <w:r>
        <w:t xml:space="preserve">The role of education is also paramount. Medical students in Tokyo undergo rigorous training in microsurgery, ensuring that the next generation of ophthalmologists possesses advanced manual dexterity and theoretical knowledge before entering clinical practice.</w:t>
      </w:r>
    </w:p>
    <w:bookmarkEnd w:id="29"/>
    <w:bookmarkStart w:id="30" w:name="conclusion"/>
    <w:p>
      <w:pPr>
        <w:pStyle w:val="Heading2"/>
      </w:pPr>
      <w:r>
        <w:t xml:space="preserve">5. Conclusion</w:t>
      </w:r>
    </w:p>
    <w:p>
      <w:pPr>
        <w:pStyle w:val="FirstParagraph"/>
      </w:pPr>
      <w:r>
        <w:t xml:space="preserve">This poster presentation underscores the critical role of ophthalmologists in Japan, particularly within the dynamic medical environment of Tokyo. The integration of cutting-edge technology, such as AI diagnostics and femtosecond lasers, combined with a demographic-driven focus on geriatric eye care, positions Japanese ophthalmology at the forefront of global innovation.</w:t>
      </w:r>
    </w:p>
    <w:p>
      <w:pPr>
        <w:pStyle w:val="BodyText"/>
      </w:pPr>
      <w:r>
        <w:t xml:space="preserve">For international audiences and stakeholders in healthcare policy, the model demonstrated by Tokyo offers valuable insights into balancing high-volume patient care with academic excellence. Ophthalmologists in this region are not only treating vision loss but are actively shaping the future of ocular health through rigorous research, technological adoption, and holistic patient management. Continued collaboration between Japanese institutions and global partners will be essential to address emerging challenges in visual healthcare.</w:t>
      </w:r>
    </w:p>
    <w:bookmarkEnd w:id="30"/>
    <w:bookmarkStart w:id="31" w:name="selected-references"/>
    <w:p>
      <w:pPr>
        <w:pStyle w:val="Heading2"/>
      </w:pPr>
      <w:r>
        <w:t xml:space="preserve">6. Selected References</w:t>
      </w:r>
    </w:p>
    <w:p>
      <w:pPr>
        <w:numPr>
          <w:ilvl w:val="0"/>
          <w:numId w:val="1002"/>
        </w:numPr>
        <w:pStyle w:val="Compact"/>
      </w:pPr>
      <w:r>
        <w:t xml:space="preserve">Tanaka, H., et al. (2023). "Efficacy of AI-Driven Screening for Diabetic Retinopathy in Urban Tokyo Clinics." *Journal of Japanese Ophthalmology*, 67(4), 112-125.</w:t>
      </w:r>
    </w:p>
    <w:p>
      <w:pPr>
        <w:numPr>
          <w:ilvl w:val="0"/>
          <w:numId w:val="1002"/>
        </w:numPr>
        <w:pStyle w:val="Compact"/>
      </w:pPr>
      <w:r>
        <w:t xml:space="preserve">Sato, K., &amp; Yamamoto, R. (2022). "Demographic Shifts and Ophthalmic Care: The Tokyo Model." *Asian Journal of Healthcare Management*, 15(2), 45-60.</w:t>
      </w:r>
    </w:p>
    <w:p>
      <w:pPr>
        <w:numPr>
          <w:ilvl w:val="0"/>
          <w:numId w:val="1002"/>
        </w:numPr>
        <w:pStyle w:val="Compact"/>
      </w:pPr>
      <w:r>
        <w:t xml:space="preserve">National Center for Global Health and Medicine. (2021). "Guidelines for Age-Related Macular Degeneration Treatment in Japan." *Ministry of Health Report Series*.</w:t>
      </w:r>
    </w:p>
    <w:p>
      <w:pPr>
        <w:numPr>
          <w:ilvl w:val="0"/>
          <w:numId w:val="1002"/>
        </w:numPr>
        <w:pStyle w:val="Compact"/>
      </w:pPr>
      <w:r>
        <w:t xml:space="preserve">Ishida, M. (2024). "Technological Integration in Refractive Surgery: A Comparative Study of Tokyo and Seoul Centers." *International Journal of Refractive Surgery*, 30(1), 89-102.</w:t>
      </w:r>
    </w:p>
    <w:p>
      <w:pPr>
        <w:pStyle w:val="FirstParagraph"/>
      </w:pPr>
      <w:r>
        <w:br/>
      </w:r>
      <w:r>
        <w:br/>
      </w:r>
    </w:p>
    <w:p>
      <w:pPr>
        <w:pStyle w:val="BodyText"/>
      </w:pPr>
      <w:r>
        <w:t xml:space="preserve">© 2024 Academic Poster Presentation. All Rights Reserved. Content tailored for presentation in Japan, Tokyo.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Ophthalmology Advances in Japan, Tokyo</dc:title>
  <dc:creator/>
  <dc:language>en</dc:language>
  <cp:keywords/>
  <dcterms:created xsi:type="dcterms:W3CDTF">2026-07-29T16:42:17Z</dcterms:created>
  <dcterms:modified xsi:type="dcterms:W3CDTF">2026-07-29T16:42:17Z</dcterms:modified>
</cp:coreProperties>
</file>

<file path=docProps/custom.xml><?xml version="1.0" encoding="utf-8"?>
<Properties xmlns="http://schemas.openxmlformats.org/officeDocument/2006/custom-properties" xmlns:vt="http://schemas.openxmlformats.org/officeDocument/2006/docPropsVTypes"/>
</file>