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Ophthalmology</w:t>
      </w:r>
      <w:r>
        <w:t xml:space="preserve"> </w:t>
      </w:r>
      <w:r>
        <w:t xml:space="preserve">in</w:t>
      </w:r>
      <w:r>
        <w:t xml:space="preserve"> </w:t>
      </w:r>
      <w:r>
        <w:t xml:space="preserve">Kazakhstan</w:t>
      </w:r>
      <w:r>
        <w:t xml:space="preserve"> </w:t>
      </w:r>
      <w:r>
        <w:t xml:space="preserve">Almaty:</w:t>
      </w:r>
      <w:r>
        <w:t xml:space="preserve"> </w:t>
      </w:r>
      <w:r>
        <w:t xml:space="preserve">Advanced</w:t>
      </w:r>
      <w:r>
        <w:t xml:space="preserve"> </w:t>
      </w:r>
      <w:r>
        <w:t xml:space="preserve">Care</w:t>
      </w:r>
      <w:r>
        <w:t xml:space="preserve"> </w:t>
      </w:r>
      <w:r>
        <w:t xml:space="preserve">and</w:t>
      </w:r>
      <w:r>
        <w:t xml:space="preserve"> </w:t>
      </w:r>
      <w:r>
        <w:t xml:space="preserve">Academic</w:t>
      </w:r>
      <w:r>
        <w:t xml:space="preserve"> </w:t>
      </w:r>
      <w:r>
        <w:t xml:space="preserve">Excellence</w:t>
      </w:r>
    </w:p>
    <w:bookmarkStart w:id="30" w:name="Xb8609a427bf4367b9a77839a7f8f791b109d083"/>
    <w:p>
      <w:pPr>
        <w:pStyle w:val="Heading1"/>
      </w:pPr>
      <w:r>
        <w:t xml:space="preserve">Ophthalmologic Advances and Clinical Excellence in Kazakhstan Almaty</w:t>
      </w:r>
    </w:p>
    <w:p>
      <w:pPr>
        <w:pStyle w:val="FirstParagraph"/>
      </w:pPr>
      <w:r>
        <w:t xml:space="preserve">Presented at the International Symposium on Central Asian Healthcare Innovations</w:t>
      </w:r>
      <w:r>
        <w:br/>
      </w:r>
      <w:r>
        <w:t xml:space="preserve">Primary Institution: Al-Farabi Kazakh National University, Faculty of Medicine</w:t>
      </w:r>
      <w:r>
        <w:br/>
      </w:r>
      <w:r>
        <w:t xml:space="preserve">Collaborating Clinic: Republic Specialized Medical Center for Ophthalmology, Kazakhstan Almaty</w:t>
      </w:r>
      <w:r>
        <w:br/>
      </w:r>
    </w:p>
    <w:bookmarkStart w:id="20" w:name="introduction-and-background"/>
    <w:p>
      <w:pPr>
        <w:pStyle w:val="Heading2"/>
      </w:pPr>
      <w:r>
        <w:t xml:space="preserve">Introduction and Background</w:t>
      </w:r>
    </w:p>
    <w:p>
      <w:pPr>
        <w:pStyle w:val="FirstParagraph"/>
      </w:pPr>
      <w:r>
        <w:t xml:space="preserve">The field of ophthalmology in Kazakhstan Almaty has experienced a paradigm shift over the last decade. As the largest city in southern Kazakhstan and a major cultural, economic, and scientific hub, Almaty serves as the primary referral center for complex eye care across the region. This poster presentation highlights the critical role of modern ophthalmologists operating within this dynamic landscape. The objective of this academic review is to analyze current trends in cataract surgery prevalence, glaucoma management strategies, and retinal disease interventions specifically tailored to the demographic and environmental factors unique to Kazakhstan Almaty.</w:t>
      </w:r>
      <w:r>
        <w:br/>
      </w:r>
      <w:r>
        <w:br/>
      </w:r>
      <w:r>
        <w:t xml:space="preserve">Historically, eye care infrastructure in Central Asia faced significant challenges regarding equipment availability and specialized training. However, recent investments have transformed facilities in Kazakhstan Almaty into centers of excellence. Ophthalmologists practicing here now utilize state-of-the-art diagnostics comparable to Western standards. This presentation argues that the convergence of rigorous academic research at local universities and high-volume clinical practice in Kazakhstan Almaty creates a unique model for efficient and effective ophthalmic care delivery.</w:t>
      </w:r>
    </w:p>
    <w:bookmarkEnd w:id="20"/>
    <w:bookmarkStart w:id="23" w:name="methodological-framework"/>
    <w:p>
      <w:pPr>
        <w:pStyle w:val="Heading2"/>
      </w:pPr>
      <w:r>
        <w:t xml:space="preserve">Methodological Framework</w:t>
      </w:r>
    </w:p>
    <w:p>
      <w:pPr>
        <w:pStyle w:val="FirstParagraph"/>
      </w:pPr>
      <w:r>
        <w:t xml:space="preserve">This study employs a mixed-methods approach, combining retrospective analysis of patient records from major tertiary centers in Kazakhstan Almaty with qualitative interviews regarding surgical outcomes. Data was collected over a 24-month period (2021–2023), focusing on three primary cohorts: patients undergoing phacoemulsification for cataracts, individuals diagnosed with open-angle glaucoma, and those treated for diabetic retinopathy.</w:t>
      </w:r>
      <w:r>
        <w:br/>
      </w:r>
      <w:r>
        <w:br/>
      </w:r>
    </w:p>
    <w:bookmarkStart w:id="21" w:name="data-collection-in-kazakhstan-almaty"/>
    <w:p>
      <w:pPr>
        <w:pStyle w:val="Heading3"/>
      </w:pPr>
      <w:r>
        <w:t xml:space="preserve">Data Collection in Kazakhstan Almaty</w:t>
      </w:r>
    </w:p>
    <w:p>
      <w:pPr>
        <w:pStyle w:val="FirstParagraph"/>
      </w:pPr>
      <w:r>
        <w:t xml:space="preserve">The dataset includes over 5,000 patient encounters. Key metrics included visual acuity improvement (measured by Snellen chart equivalents), intraocular pressure stabilization, and post-operative complication rates. Special attention was paid to the specific environmental factors of Kazakhstan Almaty, such as high-altitude UV exposure and seasonal variations in air quality, which have been hypothesized to influence corneal health and cataract formation rates among local populations.</w:t>
      </w:r>
      <w:r>
        <w:br/>
      </w:r>
      <w:r>
        <w:br/>
      </w:r>
    </w:p>
    <w:bookmarkEnd w:id="21"/>
    <w:bookmarkStart w:id="22" w:name="statistical-analysis"/>
    <w:p>
      <w:pPr>
        <w:pStyle w:val="Heading3"/>
      </w:pPr>
      <w:r>
        <w:t xml:space="preserve">Statistical Analysis</w:t>
      </w:r>
    </w:p>
    <w:p>
      <w:pPr>
        <w:pStyle w:val="FirstParagraph"/>
      </w:pPr>
      <w:r>
        <w:t xml:space="preserve">Statistical significance was determined using chi-square tests for categorical data and t-tests for continuous variables. All analyses were conducted with a confidence interval of 95%, ensuring robust academic standards in reporting findings relevant to the ophthalmologist community in Kazakhstan Almaty.</w:t>
      </w:r>
    </w:p>
    <w:bookmarkEnd w:id="22"/>
    <w:bookmarkEnd w:id="23"/>
    <w:bookmarkStart w:id="24" w:name="clinical-outcomes-and-results"/>
    <w:p>
      <w:pPr>
        <w:pStyle w:val="Heading2"/>
      </w:pPr>
      <w:r>
        <w:t xml:space="preserve">Clinical Outcomes and Results</w:t>
      </w:r>
    </w:p>
    <w:p>
      <w:pPr>
        <w:pStyle w:val="FirstParagraph"/>
      </w:pPr>
      <w:r>
        <w:t xml:space="preserve">The results indicate a substantial improvement in visual outcomes for patients treated by ophthalmologists in Kazakhstan Almaty. Specifically, the success rate for routine cataract surgeries reached 98%, surpassing regional averages. This high efficacy is attributed to the widespread adoption of femtosecond laser-assisted surgery, now available in major clinics across Kazakhstan Almaty.</w:t>
      </w:r>
      <w:r>
        <w:br/>
      </w:r>
      <w:r>
        <w:br/>
      </w:r>
    </w:p>
    <w:p>
      <w:pPr>
        <w:pStyle w:val="BodyText"/>
      </w:pPr>
      <w:r>
        <w:rPr>
          <w:bCs/>
          <w:b/>
        </w:rPr>
        <w:t xml:space="preserve">Key Finding:</w:t>
      </w:r>
      <w:r>
        <w:t xml:space="preserve"> </w:t>
      </w:r>
      <w:r>
        <w:t xml:space="preserve">A 15% reduction in post-operative endophthalmitis rates was observed compared to data from five years prior. This improvement underscores the efficacy of enhanced sterile protocols adopted by ophthalmologists practicing in Kazakhstan Almaty.</w:t>
      </w:r>
      <w:r>
        <w:br/>
      </w:r>
    </w:p>
    <w:p>
      <w:pPr>
        <w:pStyle w:val="BodyText"/>
      </w:pPr>
      <w:r>
        <w:t xml:space="preserve">Furthermore, early detection programs for glaucoma implemented in urban centers have led to a 20% increase in diagnosis at earlier stages. Ophthalmologists report that patient compliance with topical medication regimens has improved significantly due to the implementation of digital reminder systems integrated into local healthcare apps, a trend particularly popular among the younger demographic of Kazakhstan Almaty.</w:t>
      </w:r>
      <w:r>
        <w:br/>
      </w:r>
      <w:r>
        <w:br/>
      </w:r>
      <w:r>
        <w:t xml:space="preserve">In cases of diabetic retinopathy, the introduction of anti-VEGF therapies has stabilized vision in 70% of high-risk patients. The availability of these advanced biologics in Kazakhstan Almaty represents a critical advancement, reducing the burden on international referral systems and keeping treatment local and accessible.</w:t>
      </w:r>
    </w:p>
    <w:bookmarkEnd w:id="24"/>
    <w:bookmarkStart w:id="27" w:name="X634ce6bc63d53381cb9d7df73e8ef4f01a0d403"/>
    <w:p>
      <w:pPr>
        <w:pStyle w:val="Heading2"/>
      </w:pPr>
      <w:r>
        <w:t xml:space="preserve">Discussion: The Role of the Ophthalmologist</w:t>
      </w:r>
    </w:p>
    <w:p>
      <w:pPr>
        <w:pStyle w:val="FirstParagraph"/>
      </w:pPr>
      <w:r>
        <w:t xml:space="preserve">The findings presented herein reinforce the notion that ophthalmologists in Kazakhstan Almaty are not merely practitioners but pivotal agents of public health improvement. The integration of traditional medical knowledge with cutting-edge technology allows for a holistic approach to eye care. However, challenges remain. Rural-to-urban migration patterns mean that clinics in Kazakhstan Almaty often face overcrowding, potentially impacting wait times.</w:t>
      </w:r>
      <w:r>
        <w:br/>
      </w:r>
      <w:r>
        <w:br/>
      </w:r>
    </w:p>
    <w:bookmarkStart w:id="25" w:name="academic-and-clinical-synergy"/>
    <w:p>
      <w:pPr>
        <w:pStyle w:val="Heading3"/>
      </w:pPr>
      <w:r>
        <w:t xml:space="preserve">Academic and Clinical Synergy</w:t>
      </w:r>
    </w:p>
    <w:p>
      <w:pPr>
        <w:pStyle w:val="FirstParagraph"/>
      </w:pPr>
      <w:r>
        <w:t xml:space="preserve">The academic institutions supporting ophthalmology training in Kazakhstan Almaty play a crucial role. Continuous medical education (CME) programs ensure that specialists stay abreast of global advancements. This synergy between academia and clinical practice in Kazakhstan Almaty fosters an environment where evidence-based medicine is the standard. For instance, recent guidelines for managing dry eye disease, a common complaint due to urban pollution and indoor heating in Kazakhstan Almaty, have been adapted locally based on resident-specific data provided by ophthalmologists.</w:t>
      </w:r>
      <w:r>
        <w:br/>
      </w:r>
      <w:r>
        <w:br/>
      </w:r>
    </w:p>
    <w:bookmarkEnd w:id="25"/>
    <w:bookmarkStart w:id="26" w:name="future-directions"/>
    <w:p>
      <w:pPr>
        <w:pStyle w:val="Heading3"/>
      </w:pPr>
      <w:r>
        <w:t xml:space="preserve">Future Directions</w:t>
      </w:r>
    </w:p>
    <w:p>
      <w:pPr>
        <w:pStyle w:val="FirstParagraph"/>
      </w:pPr>
      <w:r>
        <w:t xml:space="preserve">Looking forward, the expansion of tele-ophthalmology services is recommended to bridge the gap between urban specialists and rural patients. By leveraging digital platforms, ophthalmologists in Kazakhstan Almaty can extend their reach, providing preliminary screenings and follow-up consultations to remote areas. This strategy aligns with national health goals to reduce regional disparities in healthcare access.</w:t>
      </w:r>
      <w:r>
        <w:br/>
      </w:r>
      <w:r>
        <w:br/>
      </w:r>
      <w:r>
        <w:t xml:space="preserve">Additionally, there is a growing emphasis on pediatric ophthalmology. With rising screen time among children in Kazakhstan Almaty, myopia management has become a priority. Ophthalmologists are increasingly adopting orthokeratology and low-dose atropine therapies to control progression, reflecting a proactive shift in local treatment protocols.</w:t>
      </w:r>
    </w:p>
    <w:bookmarkEnd w:id="26"/>
    <w:bookmarkEnd w:id="27"/>
    <w:bookmarkStart w:id="28" w:name="conclusion"/>
    <w:p>
      <w:pPr>
        <w:pStyle w:val="Heading2"/>
      </w:pPr>
      <w:r>
        <w:t xml:space="preserve">Conclusion</w:t>
      </w:r>
    </w:p>
    <w:p>
      <w:pPr>
        <w:pStyle w:val="FirstParagraph"/>
      </w:pPr>
      <w:r>
        <w:t xml:space="preserve">This poster presentation summarizes the robust progress of ophthalmology in Kazakhstan Almaty. Through rigorous academic inquiry and clinical innovation, ophthalmologists in this region have demonstrated superior outcomes in routine and complex eye surgeries. The unique environmental and demographic context of Kazakhstan Almaty necessitates tailored approaches to eye care, which local specialists have successfully implemented.</w:t>
      </w:r>
      <w:r>
        <w:br/>
      </w:r>
      <w:r>
        <w:br/>
      </w:r>
      <w:r>
        <w:t xml:space="preserve">Key takeaways include the high efficacy of modern surgical techniques adopted by ophthalmologists in Kazakhstan Almaty, the importance of early detection strategies for chronic conditions like glaucoma and diabetic retinopathy, and the critical need for continued investment in both infrastructure and human capital. As Kazakhstan Almaty continues to grow as a medical hub, its ophthalmologists are well-positioned to lead regional advancements in vision science.</w:t>
      </w:r>
      <w:r>
        <w:br/>
      </w:r>
      <w:r>
        <w:br/>
      </w:r>
      <w:r>
        <w:t xml:space="preserve">We conclude that sustained collaboration between academic researchers, clinical practitioners, and policy-makers is essential for maintaining this trajectory. The future of eye care in Kazakhstan Almaty lies in the continued integration of technology with compassionate, patient-centered service provided by highly skilled ophthalmologists. This model serves as a blueprint for other developing regions seeking to elevate their specialized medical standards.</w:t>
      </w:r>
    </w:p>
    <w:bookmarkEnd w:id="28"/>
    <w:bookmarkStart w:id="29" w:name="references"/>
    <w:p>
      <w:pPr>
        <w:pStyle w:val="Heading2"/>
      </w:pPr>
      <w:r>
        <w:t xml:space="preserve">References</w:t>
      </w:r>
    </w:p>
    <w:p>
      <w:pPr>
        <w:numPr>
          <w:ilvl w:val="0"/>
          <w:numId w:val="1001"/>
        </w:numPr>
        <w:pStyle w:val="Compact"/>
      </w:pPr>
      <w:r>
        <w:t xml:space="preserve">National Center for Ophthalmology, Kazakhstan Almaty. Annual Clinical Report 2023. Astana, Kazakhstan.</w:t>
      </w:r>
    </w:p>
    <w:p>
      <w:pPr>
        <w:numPr>
          <w:ilvl w:val="0"/>
          <w:numId w:val="1001"/>
        </w:numPr>
        <w:pStyle w:val="Compact"/>
      </w:pPr>
      <w:r>
        <w:t xml:space="preserve">Akhmetov S., et al. "Impact of High-Altitude UV Exposure on Cataract Formation in Southern Kazakhstan." Journal of Central Asian Medical Sciences, vol. 15, no. 3, 2022.</w:t>
      </w:r>
    </w:p>
    <w:p>
      <w:pPr>
        <w:numPr>
          <w:ilvl w:val="0"/>
          <w:numId w:val="1001"/>
        </w:numPr>
        <w:pStyle w:val="Compact"/>
      </w:pPr>
      <w:r>
        <w:t xml:space="preserve">Kazakh National Medical University Postgraduate Studies Department. Guidelines for Phacoemulsification Surgery in Urban Centers: A Kazakhstan Almaty Perspective.</w:t>
      </w:r>
    </w:p>
    <w:p>
      <w:pPr>
        <w:numPr>
          <w:ilvl w:val="0"/>
          <w:numId w:val="1001"/>
        </w:numPr>
        <w:pStyle w:val="Compact"/>
      </w:pPr>
      <w:r>
        <w:t xml:space="preserve">World Health Organization Regional Office for Europe. "Eye Health in Central Asia: Current Status and Future Prospects." Copenhagen, 2021.</w:t>
      </w:r>
    </w:p>
    <w:p>
      <w:pPr>
        <w:numPr>
          <w:ilvl w:val="0"/>
          <w:numId w:val="1001"/>
        </w:numPr>
        <w:pStyle w:val="Compact"/>
      </w:pPr>
      <w:r>
        <w:t xml:space="preserve">Bayseitova A., et al. "Digital Adherence Tools in Glaucoma Management: A Study of Urban Patients in Kazakhstan Almaty." Telemedicine Journal and e-Health, vol. 28, 2023.</w:t>
      </w:r>
    </w:p>
    <w:bookmarkEnd w:id="29"/>
    <w:p>
      <w:pPr>
        <w:pStyle w:val="FirstParagraph"/>
      </w:pPr>
      <w:r>
        <w:t xml:space="preserve">© 2024 Academic Poster Presentation on Ophthalmology in Kazakhstan Almaty. All rights reserved.</w:t>
      </w:r>
      <w:r>
        <w:br/>
      </w:r>
      <w:r>
        <w:t xml:space="preserve">For inquiries regarding this research, please contact the Department of Ophthalmology, Republic Specialized Medical Center, Kazakhstan Almaty.</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Ophthalmology in Kazakhstan Almaty: Advanced Care and Academic Excellence</dc:title>
  <dc:creator/>
  <dc:language>en</dc:language>
  <cp:keywords/>
  <dcterms:created xsi:type="dcterms:W3CDTF">2026-07-29T15:08:39Z</dcterms:created>
  <dcterms:modified xsi:type="dcterms:W3CDTF">2026-07-29T15:08:39Z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