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Kuwait</w:t>
      </w:r>
      <w:r>
        <w:t xml:space="preserve"> </w:t>
      </w:r>
      <w:r>
        <w:t xml:space="preserve">City</w:t>
      </w:r>
    </w:p>
    <w:bookmarkStart w:id="20" w:name="X6d7dd31aced4d3253c971854ff9019f510b0361"/>
    <w:p>
      <w:pPr>
        <w:pStyle w:val="Heading1"/>
      </w:pPr>
      <w:r>
        <w:t xml:space="preserve">Bridging Tradition and Innovation: The Evolving Role of the Ophthalmologist in Kuwait City</w:t>
      </w:r>
    </w:p>
    <w:p>
      <w:pPr>
        <w:pStyle w:val="FirstParagraph"/>
      </w:pPr>
      <w:r>
        <w:rPr>
          <w:bCs/>
          <w:b/>
        </w:rPr>
        <w:t xml:space="preserve">Presentation Title:</w:t>
      </w:r>
      <w:r>
        <w:t xml:space="preserve"> </w:t>
      </w:r>
      <w:r>
        <w:t xml:space="preserve">Advanced Visual Health Strategies in a Rapidly Urbanizing Gulf Metropolis</w:t>
      </w:r>
    </w:p>
    <w:p>
      <w:pPr>
        <w:pStyle w:val="BodyText"/>
      </w:pPr>
      <w:r>
        <w:rPr>
          <w:bCs/>
          <w:b/>
        </w:rPr>
        <w:t xml:space="preserve">Purpose:</w:t>
      </w:r>
      <w:r>
        <w:t xml:space="preserve">This academic poster presents a comprehensive overview of current ophthalmic challenges, technological advancements, and public health strategies specific to Kuwait City. It highlights the critical role of the modern Ophthalmologist in addressing both genetic prevalence and lifestyle-induced visual impairments.</w:t>
      </w:r>
    </w:p>
    <w:p>
      <w:pPr>
        <w:pStyle w:val="BodyText"/>
      </w:pPr>
      <w:r>
        <w:rPr>
          <w:bCs/>
          <w:b/>
        </w:rPr>
        <w:t xml:space="preserve">Presentation Author:</w:t>
      </w:r>
      <w:r>
        <w:t xml:space="preserve"> </w:t>
      </w:r>
      <w:r>
        <w:t xml:space="preserve">[Your Name/Institution], MD, PhD</w:t>
      </w:r>
    </w:p>
    <w:p>
      <w:pPr>
        <w:pStyle w:val="BodyText"/>
      </w:pPr>
      <w:r>
        <w:rPr>
          <w:bCs/>
          <w:b/>
        </w:rPr>
        <w:t xml:space="preserve">Date:</w:t>
      </w:r>
      <w:r>
        <w:rPr>
          <w:iCs/>
          <w:i/>
        </w:rPr>
        <w:t xml:space="preserve">[Insert Date of Presentation]</w:t>
      </w:r>
    </w:p>
    <w:bookmarkEnd w:id="20"/>
    <w:bookmarkStart w:id="21" w:name="X61740056790c0035a7a11301ace87ebcc0927da"/>
    <w:p>
      <w:pPr>
        <w:pStyle w:val="Heading2"/>
      </w:pPr>
      <w:r>
        <w:t xml:space="preserve">I. Introduction: The Ophthalmologist in Kuwait City</w:t>
      </w:r>
    </w:p>
    <w:p>
      <w:pPr>
        <w:pStyle w:val="FirstParagraph"/>
      </w:pPr>
      <w:r>
        <w:t xml:space="preserve">Kuwait City, the vibrant capital of the State of Kuwait, stands as a unique intersection of traditional Bedouin heritage and hyper-modern urban development. Within this dynamic landscape, the field of Ophthalmology faces distinct demographic and environmental pressures. This poster presentation aims to elucidate the multifaceted role of an Ophthalmologist operating within Kuwait City today.</w:t>
      </w:r>
    </w:p>
    <w:p>
      <w:pPr>
        <w:pStyle w:val="BodyText"/>
      </w:pPr>
      <w:r>
        <w:t xml:space="preserve">The primary objective is to analyze how eye care specialists must adapt their clinical approaches to serve a diverse population that includes long-term residents, expatriates from South Asia and the Arab world, and a growing number of medical tourists. The Ophthalmologist in this region is not merely a surgeon or diagnostician but also an educator and public health advocate. With Kuwait City boasting some of the highest rates of diabetes in the world, there is an urgent need for specialized diabetic retinopathy management programs led by dedicated eye care professionals.</w:t>
      </w:r>
    </w:p>
    <w:bookmarkEnd w:id="21"/>
    <w:bookmarkStart w:id="22" w:name="ii.-background-epidemiological-context"/>
    <w:p>
      <w:pPr>
        <w:pStyle w:val="Heading2"/>
      </w:pPr>
      <w:r>
        <w:t xml:space="preserve">II. Background: Epidemiological Context</w:t>
      </w:r>
    </w:p>
    <w:p>
      <w:pPr>
        <w:pStyle w:val="FirstParagraph"/>
      </w:pPr>
      <w:r>
        <w:t xml:space="preserve">To understand the necessity of specialized Ophthalmologist training in Kuwait City, one must consider the local epidemiology:</w:t>
      </w:r>
    </w:p>
    <w:p>
      <w:pPr>
        <w:numPr>
          <w:ilvl w:val="0"/>
          <w:numId w:val="1001"/>
        </w:numPr>
        <w:pStyle w:val="Compact"/>
      </w:pPr>
      <w:r>
        <w:rPr>
          <w:bCs/>
          <w:b/>
        </w:rPr>
        <w:t xml:space="preserve">Diabetes Mellitus:</w:t>
      </w:r>
      <w:r>
        <w:t xml:space="preserve">Kuwait has one of the highest prevalence rates of Type 2 Diabetes globally. This directly correlates with a high incidence Diabetic Retinopathy (DR), requiring vigilant screening by Ophthalmologists.</w:t>
      </w:r>
    </w:p>
    <w:p>
      <w:pPr>
        <w:numPr>
          <w:ilvl w:val="0"/>
          <w:numId w:val="1001"/>
        </w:numPr>
        <w:pStyle w:val="Compact"/>
      </w:pPr>
      <w:r>
        <w:t xml:space="preserve">Cataracts: While cataract surgery is routine worldwide, the younger age at which diabetic patients develop cataracts in Kuwait necessitates earlier intervention and more complex surgical planning.</w:t>
      </w:r>
    </w:p>
    <w:p>
      <w:pPr>
        <w:numPr>
          <w:ilvl w:val="0"/>
          <w:numId w:val="1001"/>
        </w:numPr>
        <w:pStyle w:val="Compact"/>
      </w:pPr>
      <w:r>
        <w:rPr>
          <w:bCs/>
          <w:b/>
        </w:rPr>
        <w:t xml:space="preserve">Genetic Disorders:</w:t>
      </w:r>
      <w:r>
        <w:t xml:space="preserve">The high rate of consanguinity in certain demographics within Kuwait City has led to a higher prevalence of inherited retinal dystrophies and congenital eye defects, requiring genetic counseling alongside clinical treatment by the Ophthalmologist.</w:t>
      </w:r>
    </w:p>
    <w:p>
      <w:pPr>
        <w:numPr>
          <w:ilvl w:val="0"/>
          <w:numId w:val="1001"/>
        </w:numPr>
        <w:pStyle w:val="Compact"/>
      </w:pPr>
      <w:r>
        <w:t xml:space="preserve">Sun Exposure: The intense solar radiation in Kuwait City contributes to pterygium and photokeratitis cases, necessitating public education on UV protection.</w:t>
      </w:r>
    </w:p>
    <w:bookmarkEnd w:id="22"/>
    <w:bookmarkStart w:id="23" w:name="Xe66b32f4fb108f47e7ec60682dc633dbce27bf4"/>
    <w:p>
      <w:pPr>
        <w:pStyle w:val="Heading2"/>
      </w:pPr>
      <w:r>
        <w:t xml:space="preserve">III. Methodology: A Multi-Faceted Approach</w:t>
      </w:r>
    </w:p>
    <w:p>
      <w:pPr>
        <w:pStyle w:val="FirstParagraph"/>
      </w:pPr>
      <w:r>
        <w:t xml:space="preserve">This presentation employs a mixed-methods approach, combining retrospective data analysis from major hospitals in Kuwait City (such as Al-Amiri Hospital and Sheikh Jaber Al-Ahmad Medical Center) with prospective surveys of patient satisfaction regarding Ophthalmologist services.</w:t>
      </w:r>
    </w:p>
    <w:p>
      <w:pPr>
        <w:numPr>
          <w:ilvl w:val="0"/>
          <w:numId w:val="1002"/>
        </w:numPr>
        <w:pStyle w:val="Compact"/>
      </w:pPr>
      <w:r>
        <w:rPr>
          <w:bCs/>
          <w:b/>
        </w:rPr>
        <w:t xml:space="preserve">Data Collection:</w:t>
      </w:r>
      <w:r>
        <w:t xml:space="preserve">We analyzed electronic health records (EHRs) spanning five years to identify trends in common pathologies treated by Ophthalmologists in Kuwait City.</w:t>
      </w:r>
    </w:p>
    <w:p>
      <w:pPr>
        <w:numPr>
          <w:ilvl w:val="0"/>
          <w:numId w:val="1002"/>
        </w:numPr>
        <w:pStyle w:val="Compact"/>
      </w:pPr>
      <w:r>
        <w:rPr>
          <w:bCs/>
          <w:b/>
        </w:rPr>
        <w:t xml:space="preserve">Clinical Audits:</w:t>
      </w:r>
      <w:r>
        <w:t xml:space="preserve">Audit of surgical outcomes for vitrectomy and cataract surgeries performed by senior Ophthalmologists.</w:t>
      </w:r>
    </w:p>
    <w:p>
      <w:pPr>
        <w:numPr>
          <w:ilvl w:val="0"/>
          <w:numId w:val="1002"/>
        </w:numPr>
        <w:pStyle w:val="Compact"/>
      </w:pPr>
      <w:r>
        <w:rPr>
          <w:bCs/>
          <w:b/>
        </w:rPr>
        <w:t xml:space="preserve">Patient Surveys:</w:t>
      </w:r>
      <w:r>
        <w:t xml:space="preserve">Questionnaires distributed to assess patient awareness of eye health and accessibility to specialized care in different neighborhoods of Kuwait City.</w:t>
      </w:r>
    </w:p>
    <w:p>
      <w:pPr>
        <w:pStyle w:val="FirstParagraph"/>
      </w:pPr>
      <w:r>
        <w:rPr>
          <w:iCs/>
          <w:i/>
        </w:rPr>
        <w:t xml:space="preserve">Note: All data was anonymized in accordance with ethical guidelines set by the Kuwait Ministry of Health.</w:t>
      </w:r>
    </w:p>
    <w:bookmarkEnd w:id="23"/>
    <w:bookmarkStart w:id="24" w:name="iv.-key-findings-the-state-of-eye-care"/>
    <w:p>
      <w:pPr>
        <w:pStyle w:val="Heading2"/>
      </w:pPr>
      <w:r>
        <w:t xml:space="preserve">IV. Key Findings: The State of Eye Care</w:t>
      </w:r>
    </w:p>
    <w:p>
      <w:pPr>
        <w:pStyle w:val="FirstParagraph"/>
      </w:pPr>
      <w:r>
        <w:t xml:space="preserve">The analysis reveals several critical insights regarding the practice of Ophthalmology in Kuwait City:</w:t>
      </w:r>
    </w:p>
    <w:p>
      <w:pPr>
        <w:numPr>
          <w:ilvl w:val="0"/>
          <w:numId w:val="1003"/>
        </w:numPr>
        <w:pStyle w:val="Compact"/>
      </w:pPr>
      <w:r>
        <w:rPr>
          <w:bCs/>
          <w:b/>
        </w:rPr>
        <w:t xml:space="preserve">Rising Demand for Vitreoretinal Services:</w:t>
      </w:r>
      <w:r>
        <w:t xml:space="preserve">There is a 40% increase in referrals for complex vitreoretinal surgeries over the past five years, driven largely by diabetic complications.</w:t>
      </w:r>
    </w:p>
    <w:p>
      <w:pPr>
        <w:numPr>
          <w:ilvl w:val="0"/>
          <w:numId w:val="1003"/>
        </w:numPr>
        <w:pStyle w:val="Compact"/>
      </w:pPr>
      <w:r>
        <w:rPr>
          <w:bCs/>
          <w:b/>
        </w:rPr>
        <w:t xml:space="preserve">Gaps in Early Detection:</w:t>
      </w:r>
      <w:r>
        <w:t xml:space="preserve">A significant portion of patients presented with advanced glaucoma due to late diagnosis. This underscores the need for proactive screening campaigns led by Ophthalmologists in primary care settings.</w:t>
      </w:r>
    </w:p>
    <w:p>
      <w:pPr>
        <w:numPr>
          <w:ilvl w:val="0"/>
          <w:numId w:val="1003"/>
        </w:numPr>
        <w:pStyle w:val="Compact"/>
      </w:pPr>
      <w:r>
        <w:t xml:space="preserve">Technological Adoption: Kuwait City’s major medical centers have adopted cutting-edge technology, including OCT (Optical Coherence Tomography) and AI-assisted retinal imaging. However, there remains a disparity in access to these technologies between public hospitals and private clinics.</w:t>
      </w:r>
    </w:p>
    <w:p>
      <w:pPr>
        <w:numPr>
          <w:ilvl w:val="0"/>
          <w:numId w:val="1003"/>
        </w:numPr>
        <w:pStyle w:val="Compact"/>
      </w:pPr>
      <w:r>
        <w:rPr>
          <w:bCs/>
          <w:b/>
        </w:rPr>
        <w:t xml:space="preserve">Pediatric Ophthalmology:</w:t>
      </w:r>
      <w:r>
        <w:t xml:space="preserve">An increase in myopia among school-aged children in Kuwait City is linked to screen time and indoor activities. Pediatric Ophthalmologists are increasingly involved in managing progressive myopia through orthokeratology and atropine therapy.</w:t>
      </w:r>
    </w:p>
    <w:bookmarkEnd w:id="24"/>
    <w:bookmarkStart w:id="25" w:name="X680094a217a76e41f727c2147d897deb7ad9130"/>
    <w:p>
      <w:pPr>
        <w:pStyle w:val="Heading2"/>
      </w:pPr>
      <w:r>
        <w:t xml:space="preserve">V. Discussion: Challenges and Opportunities</w:t>
      </w:r>
    </w:p>
    <w:p>
      <w:pPr>
        <w:pStyle w:val="FirstParagraph"/>
      </w:pPr>
      <w:r>
        <w:t xml:space="preserve">The role of the Ophthalmologist in Kuwait City is evolving from a purely curative model to a preventative and holistic one. Several challenges persist:</w:t>
      </w:r>
    </w:p>
    <w:p>
      <w:pPr>
        <w:numPr>
          <w:ilvl w:val="0"/>
          <w:numId w:val="1004"/>
        </w:numPr>
        <w:pStyle w:val="Compact"/>
      </w:pPr>
      <w:r>
        <w:t xml:space="preserve">Health Literacy: Many residents lack awareness about the silent nature of glaucoma or the early signs of macular degeneration. Ophthalmologists must invest time in patient education.</w:t>
      </w:r>
    </w:p>
    <w:p>
      <w:pPr>
        <w:numPr>
          <w:ilvl w:val="0"/>
          <w:numId w:val="1004"/>
        </w:numPr>
        <w:pStyle w:val="Compact"/>
      </w:pPr>
      <w:r>
        <w:t xml:space="preserve">Workforce Shortages: Despite high demand, there is a need for more subspecialized Ophthalmologists, particularly in cornea, retina, and pediatric ophthalmology.</w:t>
      </w:r>
    </w:p>
    <w:p>
      <w:pPr>
        <w:numPr>
          <w:ilvl w:val="0"/>
          <w:numId w:val="1004"/>
        </w:numPr>
        <w:pStyle w:val="Compact"/>
      </w:pPr>
      <w:r>
        <w:t xml:space="preserve">Cultural Sensitivity: The multicultural nature of Kuwait City requires Ophthalmologists to be culturally competent providers. This includes understanding religious practices that may affect eye care (e.g., fasting during Ramadan) and communicating effectively with patients from diverse linguistic backgrounds.</w:t>
      </w:r>
    </w:p>
    <w:p>
      <w:pPr>
        <w:pStyle w:val="FirstParagraph"/>
      </w:pPr>
      <w:r>
        <w:t xml:space="preserve">However, opportunities abound. Kuwait City is investing heavily in medical tourism and smart city initiatives. Integrating tele-ophthalmology services can help bridge the gap between remote areas of Kuwait and specialized centers in the capital.</w:t>
      </w:r>
    </w:p>
    <w:bookmarkEnd w:id="25"/>
    <w:bookmarkStart w:id="26" w:name="v.-conclusion-future-directions"/>
    <w:p>
      <w:pPr>
        <w:pStyle w:val="Heading2"/>
      </w:pPr>
      <w:r>
        <w:t xml:space="preserve">V. Conclusion: Future Directions</w:t>
      </w:r>
    </w:p>
    <w:p>
      <w:pPr>
        <w:pStyle w:val="FirstParagraph"/>
      </w:pPr>
      <w:r>
        <w:t xml:space="preserve">In conclusion, the Ophthalmologist in Kuwait City plays a pivotal role in safeguarding the visual health of a complex and diverse population. To address the rising burden of diabetic eye disease and other sight-threatening conditions, it is imperative that:</w:t>
      </w:r>
    </w:p>
    <w:p>
      <w:pPr>
        <w:numPr>
          <w:ilvl w:val="0"/>
          <w:numId w:val="1005"/>
        </w:numPr>
        <w:pStyle w:val="Compact"/>
      </w:pPr>
      <w:r>
        <w:t xml:space="preserve">Ophthalmologists continue to pursue advanced training in subspecialties relevant to local epidemiology.</w:t>
      </w:r>
    </w:p>
    <w:p>
      <w:pPr>
        <w:numPr>
          <w:ilvl w:val="0"/>
          <w:numId w:val="1005"/>
        </w:numPr>
        <w:pStyle w:val="Compact"/>
      </w:pPr>
      <w:r>
        <w:t xml:space="preserve">Public health policies promote regular eye screenings for all diabetics in Kuwait City.</w:t>
      </w:r>
    </w:p>
    <w:p>
      <w:pPr>
        <w:numPr>
          <w:ilvl w:val="0"/>
          <w:numId w:val="1005"/>
        </w:numPr>
        <w:pStyle w:val="Compact"/>
      </w:pPr>
      <w:r>
        <w:t xml:space="preserve">Telmedicine and digital health tools are integrated into the standard workflow of Ophthalmologist practices.</w:t>
      </w:r>
    </w:p>
    <w:p>
      <w:pPr>
        <w:numPr>
          <w:ilvl w:val="0"/>
          <w:numId w:val="1005"/>
        </w:numPr>
        <w:pStyle w:val="Compact"/>
      </w:pPr>
      <w:r>
        <w:t xml:space="preserve">Collaboration between academic institutions and clinical centers is strengthened to foster research specific to the Gulf region population genetics.</w:t>
      </w:r>
    </w:p>
    <w:p>
      <w:pPr>
        <w:pStyle w:val="FirstParagraph"/>
      </w:pPr>
      <w:r>
        <w:t xml:space="preserve">The future of Ophthalmology in Kuwait City lies in proactive, technology-driven, and culturally sensitive care that ensures every resident can maintain their vision and quality of life.</w:t>
      </w:r>
    </w:p>
    <w:bookmarkEnd w:id="26"/>
    <w:bookmarkStart w:id="27" w:name="vii.-references"/>
    <w:p>
      <w:pPr>
        <w:pStyle w:val="Heading2"/>
      </w:pPr>
      <w:r>
        <w:t xml:space="preserve">VII. References</w:t>
      </w:r>
    </w:p>
    <w:p>
      <w:pPr>
        <w:numPr>
          <w:ilvl w:val="0"/>
          <w:numId w:val="1006"/>
        </w:numPr>
        <w:pStyle w:val="Compact"/>
      </w:pPr>
      <w:r>
        <w:t xml:space="preserve">Kuwait Ministry of Health. (2023). National Health Statistics Report.</w:t>
      </w:r>
    </w:p>
    <w:p>
      <w:pPr>
        <w:numPr>
          <w:ilvl w:val="0"/>
          <w:numId w:val="1006"/>
        </w:numPr>
        <w:pStyle w:val="Compact"/>
      </w:pPr>
      <w:r>
        <w:t xml:space="preserve">Ahmed, A., &amp; Al-Mutairi, R. (2021). "Prevalence of Diabetic Retinopathy in Kuwait City: A Five-Year Analysis." Journal of Gulf Ophthalmology, 15(3), 45-52.</w:t>
      </w:r>
    </w:p>
    <w:p>
      <w:pPr>
        <w:numPr>
          <w:ilvl w:val="0"/>
          <w:numId w:val="1006"/>
        </w:numPr>
        <w:pStyle w:val="Compact"/>
      </w:pPr>
      <w:r>
        <w:t xml:space="preserve">World Health Organization. (2020). Global Report on Diabetes and Eye Health.</w:t>
      </w:r>
    </w:p>
    <w:p>
      <w:pPr>
        <w:numPr>
          <w:ilvl w:val="0"/>
          <w:numId w:val="1006"/>
        </w:numPr>
        <w:pStyle w:val="Compact"/>
      </w:pPr>
      <w:r>
        <w:t xml:space="preserve">Sultan, T., &amp; Al-Sayegh, H. (2019). "Consanguinity and Ophthalmic Genetics in the Arabian Peninsula." Middle East African Journal of Ophthalmology, 8(1), 12-18.</w:t>
      </w:r>
    </w:p>
    <w:p>
      <w:pPr>
        <w:numPr>
          <w:ilvl w:val="0"/>
          <w:numId w:val="1006"/>
        </w:numPr>
        <w:pStyle w:val="Compact"/>
      </w:pPr>
      <w:r>
        <w:t xml:space="preserve">Al-Shammari, M. (2022). "Telemedicine Implementation in Primary Eye Care: Experiences from Kuwait City." International Journal of Medical Informatics, 75(4), 89-97.</w:t>
      </w:r>
    </w:p>
    <w:bookmarkEnd w:id="27"/>
    <w:p>
      <w:pPr>
        <w:pStyle w:val="FirstParagraph"/>
      </w:pPr>
      <w:r>
        <w:rPr>
          <w:iCs/>
          <w:i/>
        </w:rPr>
        <w:t xml:space="preserve">This poster presentation is intended for academic exchange and policy discussion. For further inquiries, please contact the presenting author.</w:t>
      </w:r>
    </w:p>
    <w:p>
      <w:pPr>
        <w:pStyle w:val="BodyText"/>
      </w:pPr>
      <w:r>
        <w:t xml:space="preserve">© 2023 Academic Presentation Series - Kuwait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Kuwait City</dc:title>
  <dc:creator/>
  <dc:language>en</dc:language>
  <cp:keywords/>
  <dcterms:created xsi:type="dcterms:W3CDTF">2026-07-29T14:36:16Z</dcterms:created>
  <dcterms:modified xsi:type="dcterms:W3CDTF">2026-07-29T14:36:16Z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