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Ophthalmology</w:t>
      </w:r>
      <w:r>
        <w:t xml:space="preserve"> </w:t>
      </w:r>
      <w:r>
        <w:t xml:space="preserve">Poster</w:t>
      </w:r>
      <w:r>
        <w:t xml:space="preserve"> </w:t>
      </w:r>
      <w:r>
        <w:t xml:space="preserve">Presentation:</w:t>
      </w:r>
      <w:r>
        <w:t xml:space="preserve"> </w:t>
      </w:r>
      <w:r>
        <w:t xml:space="preserve">Advancements</w:t>
      </w:r>
      <w:r>
        <w:t xml:space="preserve"> </w:t>
      </w:r>
      <w:r>
        <w:t xml:space="preserve">in</w:t>
      </w:r>
      <w:r>
        <w:t xml:space="preserve"> </w:t>
      </w:r>
      <w:r>
        <w:t xml:space="preserve">Eye</w:t>
      </w:r>
      <w:r>
        <w:t xml:space="preserve"> </w:t>
      </w:r>
      <w:r>
        <w:t xml:space="preserve">Care</w:t>
      </w:r>
    </w:p>
    <w:bookmarkStart w:id="21" w:name="X653fdc8f5dfa086e23f69ede96ff882a15014b6"/>
    <w:p>
      <w:pPr>
        <w:pStyle w:val="Heading1"/>
      </w:pPr>
      <w:r>
        <w:t xml:space="preserve">Epidemiology and Management of Ocular Pathologies in Malaysia Kuala Lumpur</w:t>
      </w:r>
    </w:p>
    <w:bookmarkStart w:id="20" w:name="X844d1ced080eb8a81bfa9f734b2c0f395801f22"/>
    <w:p>
      <w:pPr>
        <w:pStyle w:val="Heading2"/>
      </w:pPr>
      <w:r>
        <w:t xml:space="preserve">A Comprehensive Review for the Modern Ophthalmologist</w:t>
      </w:r>
    </w:p>
    <w:bookmarkEnd w:id="20"/>
    <w:bookmarkEnd w:id="21"/>
    <w:p>
      <w:pPr>
        <w:pStyle w:val="FirstParagraph"/>
      </w:pPr>
      <w:r>
        <w:rPr>
          <w:iCs/>
          <w:i/>
          <w:bCs/>
          <w:b/>
        </w:rPr>
        <w:t xml:space="preserve">Presentation Context:</w:t>
      </w:r>
      <w:r>
        <w:t xml:space="preserve"> </w:t>
      </w:r>
      <w:r>
        <w:t xml:space="preserve">International Eye Health Conference, Malaysia Kuala Lumpur</w:t>
      </w:r>
      <w:r>
        <w:br/>
      </w:r>
      <w:r>
        <w:rPr>
          <w:iCs/>
          <w:i/>
          <w:bCs/>
          <w:b/>
        </w:rPr>
        <w:t xml:space="preserve">Focused Audience:</w:t>
      </w:r>
      <w:r>
        <w:t xml:space="preserve"> </w:t>
      </w:r>
      <w:r>
        <w:t xml:space="preserve">Medical Specialists, Public Health Policy Makers, and Clinical Ophthalmologists practicing in Malaysia Kuala Lumpur.</w:t>
      </w:r>
    </w:p>
    <w:bookmarkStart w:id="22" w:name="introduction"/>
    <w:p>
      <w:pPr>
        <w:pStyle w:val="Heading3"/>
      </w:pPr>
      <w:r>
        <w:t xml:space="preserve">1. Introduction</w:t>
      </w:r>
    </w:p>
    <w:p>
      <w:pPr>
        <w:pStyle w:val="FirstParagraph"/>
      </w:pPr>
      <w:r>
        <w:t xml:space="preserve">The rapid urbanization of the Federal Territory of Malaysia Kuala Lumpur has created a unique healthcare landscape that demands specialized attention. As the capital city and economic hub, Malaysia Kuala Lumpur experiences high population density, diverse ethnic demographics, and significant lifestyle variations that directly impact ocular health. This poster presentation aims to provide a comprehensive overview for any ophthalmologist operating within this dynamic region.</w:t>
      </w:r>
    </w:p>
    <w:p>
      <w:pPr>
        <w:pStyle w:val="BodyText"/>
      </w:pPr>
      <w:r>
        <w:t xml:space="preserve">Understanding the specific epidemiological trends in Malaysia Kuala Lumpur is crucial for early diagnosis and effective management of visual impairments. The burden of disease here differs significantly from rural counterparts, largely due to environmental factors, urban pollution levels, and the high prevalence of lifestyle-related non-communicable diseases such as diabetes and hypertension.</w:t>
      </w:r>
    </w:p>
    <w:bookmarkEnd w:id="22"/>
    <w:bookmarkStart w:id="24" w:name="epidemiology"/>
    <w:bookmarkStart w:id="23" w:name="X0ca0ac6b122e60726644703c93807cc015c2e12"/>
    <w:p>
      <w:pPr>
        <w:pStyle w:val="Heading3"/>
      </w:pPr>
      <w:r>
        <w:t xml:space="preserve">2. Epidemiological Landscape in Malaysia Kuala Lumpur</w:t>
      </w:r>
    </w:p>
    <w:p>
      <w:pPr>
        <w:pStyle w:val="FirstParagraph"/>
      </w:pPr>
      <w:r>
        <w:t xml:space="preserve">An ophthalmologist must recognize that the demographic profile of Malaysia Kuala Lumpur is a melting pot of Malay, Chinese, Indian, and indigenous communities. This diversity influences genetic predispositions to certain ocular conditions.</w:t>
      </w:r>
    </w:p>
    <w:p>
      <w:pPr>
        <w:pStyle w:val="BodyText"/>
      </w:pPr>
      <w:r>
        <w:rPr>
          <w:iCs/>
          <w:i/>
          <w:bCs/>
          <w:b/>
        </w:rPr>
        <w:t xml:space="preserve">Critical Statistic:</w:t>
      </w:r>
      <w:r>
        <w:t xml:space="preserve"> </w:t>
      </w:r>
      <w:r>
        <w:t xml:space="preserve">Diabetes Mellitus is a leading risk factor for vision loss in the region. Studies conducted specifically within Malaysia Kuala Lumpur indicate that nearly half of the urban adult population suffers from either pre-diabetes or diabetes, directly correlating with high rates of Diabetic Retinopathy.</w:t>
      </w:r>
    </w:p>
    <w:p>
      <w:pPr>
        <w:numPr>
          <w:ilvl w:val="0"/>
          <w:numId w:val="1001"/>
        </w:numPr>
        <w:pStyle w:val="Compact"/>
      </w:pPr>
      <w:r>
        <w:rPr>
          <w:bCs/>
          <w:b/>
        </w:rPr>
        <w:t xml:space="preserve">Cataract:</w:t>
      </w:r>
      <w:r>
        <w:t xml:space="preserve"> </w:t>
      </w:r>
      <w:r>
        <w:t xml:space="preserve">Remains the leading cause of reversible blindness in Malaysia Kuala Lumpur, particularly among the aging demographic.</w:t>
      </w:r>
    </w:p>
    <w:p>
      <w:pPr>
        <w:numPr>
          <w:ilvl w:val="0"/>
          <w:numId w:val="1001"/>
        </w:numPr>
        <w:pStyle w:val="Compact"/>
      </w:pPr>
      <w:r>
        <w:rPr>
          <w:bCs/>
          <w:b/>
        </w:rPr>
        <w:t xml:space="preserve">Amblyopia:</w:t>
      </w:r>
      <w:r>
        <w:t xml:space="preserve"> </w:t>
      </w:r>
      <w:r>
        <w:t xml:space="preserve">Screening programs in urban schools within Malaysia Kuala Lumpur have improved detection rates, yet access gaps remain for lower-income families.</w:t>
      </w:r>
    </w:p>
    <w:p>
      <w:pPr>
        <w:numPr>
          <w:ilvl w:val="0"/>
          <w:numId w:val="1001"/>
        </w:numPr>
        <w:pStyle w:val="Compact"/>
      </w:pPr>
      <w:r>
        <w:rPr>
          <w:bCs/>
          <w:b/>
        </w:rPr>
        <w:t xml:space="preserve">Refractive Errors:</w:t>
      </w:r>
      <w:r>
        <w:t xml:space="preserve"> </w:t>
      </w:r>
      <w:r>
        <w:t xml:space="preserve">The digital lifestyle prevalent in the tech-centric hubs of Malaysia Kuala Lumpur has led to a surge in Computer Vision Syndrome and myopia progression among adolescents.</w:t>
      </w:r>
    </w:p>
    <w:bookmarkEnd w:id="23"/>
    <w:bookmarkEnd w:id="24"/>
    <w:bookmarkStart w:id="26" w:name="clinical-management"/>
    <w:bookmarkStart w:id="25" w:name="clinical-management-strategies"/>
    <w:p>
      <w:pPr>
        <w:pStyle w:val="Heading3"/>
      </w:pPr>
      <w:r>
        <w:t xml:space="preserve">3. Clinical Management Strategies</w:t>
      </w:r>
    </w:p>
    <w:p>
      <w:pPr>
        <w:pStyle w:val="FirstParagraph"/>
      </w:pPr>
      <w:r>
        <w:t xml:space="preserve">The role of the ophthalmologist in Malaysia Kuala Lumpur extends beyond surgical intervention to include comprehensive preventive care and patient education. Given the public-private healthcare mix in Malaysia Kuala Lumpur, coordination between primary care physicians and specialists is vital.</w:t>
      </w:r>
    </w:p>
    <w:p>
      <w:pPr>
        <w:pStyle w:val="BodyText"/>
      </w:pPr>
      <w:r>
        <w:t xml:space="preserve">Condition</w:t>
      </w:r>
    </w:p>
    <w:bookmarkEnd w:id="25"/>
    <w:bookmarkEnd w:id="26"/>
    <w:p>
      <w:pPr>
        <w:pStyle w:val="BodyText"/>
      </w:pPr>
      <w:r>
        <w:t xml:space="preserve">Prevalence in Malaysia Kuala Lumpur</w:t>
      </w:r>
    </w:p>
    <w:p>
      <w:pPr>
        <w:pStyle w:val="BodyText"/>
      </w:pPr>
      <w:r>
        <w:t xml:space="preserve">Recommended Intervention for Ophthalmologist</w:t>
      </w:r>
      <w:r>
        <w:br/>
      </w:r>
    </w:p>
    <w:bookmarkStart w:id="28" w:name="glaucoma"/>
    <w:bookmarkStart w:id="27" w:name="Xbe2af979c65686bc8e3051fb1325822555beff0"/>
    <w:p>
      <w:pPr>
        <w:pStyle w:val="Heading3"/>
      </w:pPr>
      <w:r>
        <w:t xml:space="preserve">4. The Challenge of Glaucoma in Urban Settings</w:t>
      </w:r>
    </w:p>
    <w:p>
      <w:pPr>
        <w:pStyle w:val="FirstParagraph"/>
      </w:pPr>
      <w:r>
        <w:t xml:space="preserve">Glauoma, often termed the "silent thief of sight," presents a unique challenge for the ophthalmologist in Malaysia Kuala Lumpur. The asymptomatic nature of early-stage glaucoma means that many patients present with irreversible optic nerve damage. In a bustling metropolis like Malaysia Kuala Lumpur, where busy schedules often deprioritize health check-ups, proactive screening is essential.</w:t>
      </w:r>
    </w:p>
    <w:p>
      <w:pPr>
        <w:pStyle w:val="BodyText"/>
      </w:pPr>
      <w:r>
        <w:t xml:space="preserve">The ophthalmologist must advocate for annual tonometry and optic nerve imaging for all diabetic and hypertensive patients residing in Malaysia Kuala Lumpur. Utilizing advanced OCT (Optical Coherence Tomography) technology available in major clinics allows for earlier detection of nerve fiber layer thinning, significantly improving prognosis.</w:t>
      </w:r>
    </w:p>
    <w:bookmarkEnd w:id="27"/>
    <w:bookmarkEnd w:id="28"/>
    <w:bookmarkStart w:id="30" w:name="retinal"/>
    <w:bookmarkStart w:id="29" w:name="diabetic-retinopathy-and-macular-edema"/>
    <w:p>
      <w:pPr>
        <w:pStyle w:val="Heading3"/>
      </w:pPr>
      <w:r>
        <w:t xml:space="preserve">5. Diabetic Retinopathy and Macular Edema</w:t>
      </w:r>
    </w:p>
    <w:p>
      <w:pPr>
        <w:pStyle w:val="FirstParagraph"/>
      </w:pPr>
      <w:r>
        <w:t xml:space="preserve">The intersection of diabetes and ophthalmology is perhaps the most critical aspect of practice for an ophthalmologist in Malaysia Kuala Lumpur. With high rates of type 2 diabetes, Diabetic Retinopathy (DR) is a prevalent cause of blindness.</w:t>
      </w:r>
    </w:p>
    <w:p>
      <w:pPr>
        <w:numPr>
          <w:ilvl w:val="0"/>
          <w:numId w:val="1002"/>
        </w:numPr>
        <w:pStyle w:val="Compact"/>
      </w:pPr>
      <w:r>
        <w:rPr>
          <w:bCs/>
          <w:b/>
        </w:rPr>
        <w:t xml:space="preserve">Laser Photocoagulation:</w:t>
      </w:r>
      <w:r>
        <w:t xml:space="preserve"> </w:t>
      </w:r>
      <w:r>
        <w:t xml:space="preserve">Remains a gold standard for proliferative DR cases.</w:t>
      </w:r>
    </w:p>
    <w:p>
      <w:pPr>
        <w:numPr>
          <w:ilvl w:val="0"/>
          <w:numId w:val="1002"/>
        </w:numPr>
        <w:pStyle w:val="Compact"/>
      </w:pPr>
      <w:r>
        <w:rPr>
          <w:bCs/>
          <w:b/>
        </w:rPr>
        <w:t xml:space="preserve">Intravitreal Injections:</w:t>
      </w:r>
      <w:r>
        <w:t xml:space="preserve">The availability of anti-VEGF therapies has revolutionized the management of Diabetic Macular Edema (DME) in Malaysia Kuala Lumpur. The ophthalmologist must be trained in these minimally invasive procedures to reduce visual morbidity effectively.</w:t>
      </w:r>
    </w:p>
    <w:bookmarkEnd w:id="29"/>
    <w:bookmarkEnd w:id="30"/>
    <w:bookmarkStart w:id="32" w:name="conclusion"/>
    <w:bookmarkStart w:id="31" w:name="conclusion-and-future-directions"/>
    <w:p>
      <w:pPr>
        <w:pStyle w:val="Heading3"/>
      </w:pPr>
      <w:r>
        <w:t xml:space="preserve">6. Conclusion and Future Directions</w:t>
      </w:r>
    </w:p>
    <w:p>
      <w:pPr>
        <w:pStyle w:val="FirstParagraph"/>
      </w:pPr>
      <w:r>
        <w:t xml:space="preserve">In summary, the practice of ophthalmology in Malaysia Kuala Lumpur requires a nuanced understanding of local epidemiological trends, cultural beliefs regarding health, and the socio-economic factors influencing healthcare access.</w:t>
      </w:r>
    </w:p>
    <w:p>
      <w:pPr>
        <w:pStyle w:val="BodyText"/>
      </w:pPr>
      <w:r>
        <w:t xml:space="preserve">The modern ophthalmologist must leverage tele-ophthalmology and digital registries to improve follow-up compliance in Malaysia Kuala Lumpur's fast-paced environment. Furthermore, continued research localized to the population demographics of Malaysia Kuala Lumpur is necessary to refine treatment protocols.</w:t>
      </w:r>
    </w:p>
    <w:p>
      <w:pPr>
        <w:pStyle w:val="BodyText"/>
      </w:pPr>
      <w:r>
        <w:t xml:space="preserve">We urge all healthcare stakeholders in Malaysia Kuala Lumpur to collaborate with ophthalmologists in implementing community-based screening camps and public awareness campaigns. By focusing on prevention and early intervention, we can mitigate the burden of preventable blindness in this vibrant capital city.</w:t>
      </w:r>
    </w:p>
    <w:bookmarkEnd w:id="31"/>
    <w:bookmarkEnd w:id="32"/>
    <w:bookmarkStart w:id="34" w:name="references"/>
    <w:bookmarkStart w:id="33" w:name="acknowledgements"/>
    <w:p>
      <w:pPr>
        <w:pStyle w:val="Heading3"/>
      </w:pPr>
      <w:r>
        <w:t xml:space="preserve">Acknowledgements</w:t>
      </w:r>
    </w:p>
    <w:p>
      <w:pPr>
        <w:pStyle w:val="FirstParagraph"/>
      </w:pPr>
      <w:r>
        <w:t xml:space="preserve">We acknowledge the Ministry of Health Malaysia and the various private hospital groups in Malaysia Kuala Lumpur for providing data that supported this poster presentation. Special thanks to the local ophthalmology associations for their ongoing efforts in standardizing care across the nation.</w:t>
      </w:r>
    </w:p>
    <w:bookmarkEnd w:id="33"/>
    <w:bookmarkEnd w:id="34"/>
    <w:p>
      <w:pPr>
        <w:pStyle w:val="BodyText"/>
      </w:pPr>
      <w:r>
        <w:rPr>
          <w:bCs/>
          <w:b/>
        </w:rPr>
        <w:t xml:space="preserve">Contact Information:</w:t>
      </w:r>
      <w:r>
        <w:br/>
      </w:r>
      <w:r>
        <w:t xml:space="preserve">Department of Ophthalmology</w:t>
      </w:r>
      <w:r>
        <w:br/>
      </w:r>
      <w:r>
        <w:t xml:space="preserve">Medical Faculty, National University of Malaysia Kuala Lumpur Campus</w:t>
      </w:r>
      <w:r>
        <w:br/>
      </w:r>
      <w:r>
        <w:t xml:space="preserve">Email: research@ophthalmolmykl.com | Website: www.eyecaremalaysia.org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Ophthalmology Poster Presentation: Advancements in Eye Care</dc:title>
  <dc:creator/>
  <dc:language>en</dc:language>
  <cp:keywords/>
  <dcterms:created xsi:type="dcterms:W3CDTF">2026-07-30T00:29:05Z</dcterms:created>
  <dcterms:modified xsi:type="dcterms:W3CDTF">2026-07-30T00:29:05Z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