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Ophthalmology</w:t>
      </w:r>
      <w:r>
        <w:t xml:space="preserve"> </w:t>
      </w:r>
      <w:r>
        <w:t xml:space="preserve">in</w:t>
      </w:r>
      <w:r>
        <w:t xml:space="preserve"> </w:t>
      </w:r>
      <w:r>
        <w:t xml:space="preserve">Nepal</w:t>
      </w:r>
      <w:r>
        <w:t xml:space="preserve"> </w:t>
      </w:r>
      <w:r>
        <w:t xml:space="preserve">Kathmandu</w:t>
      </w:r>
    </w:p>
    <w:bookmarkStart w:id="21" w:name="X4624d86abb369da8f9bfaf405d07b3f4aff33fe"/>
    <w:p>
      <w:pPr>
        <w:pStyle w:val="Heading1"/>
      </w:pPr>
      <w:r>
        <w:t xml:space="preserve">Epidemiological Shifts and Clinical Innovations in Ophthalmic Care</w:t>
      </w:r>
    </w:p>
    <w:bookmarkStart w:id="20" w:name="X0310712e35a6ac2b7961b7b6103d8cd5ea1f03f"/>
    <w:p>
      <w:pPr>
        <w:pStyle w:val="Heading2"/>
      </w:pPr>
      <w:r>
        <w:t xml:space="preserve">A Comprehensive Poster Presentation Academic Analysis of the Modern Ophthalmologist Operating in Nepal Kathmandu</w:t>
      </w:r>
    </w:p>
    <w:bookmarkEnd w:id="20"/>
    <w:bookmarkEnd w:id="21"/>
    <w:p>
      <w:pPr>
        <w:pStyle w:val="FirstParagraph"/>
      </w:pPr>
      <w:r>
        <w:t xml:space="preserve">Prepared for Regional Symposium on Urban Health &amp; Eye Care | Institution: Department of Clinical Ophthalmology, Kathmandu Metropolitan Health Directorate</w:t>
      </w:r>
      <w:r>
        <w:br/>
      </w:r>
      <w:r>
        <w:t xml:space="preserve">Corresponding Author: Principal Investigator, Tertiary Referral Eye Center | Contact: academic.ophthalmology@kathmanduhealth.np</w:t>
      </w:r>
    </w:p>
    <w:bookmarkStart w:id="22" w:name="introduction-background"/>
    <w:p>
      <w:pPr>
        <w:pStyle w:val="Heading3"/>
      </w:pPr>
      <w:r>
        <w:t xml:space="preserve">Introduction &amp; Background</w:t>
      </w:r>
    </w:p>
    <w:p>
      <w:pPr>
        <w:pStyle w:val="FirstParagraph"/>
      </w:pPr>
      <w:r>
        <w:t xml:space="preserve">This Poster Presentation academic framework establishes a structured examination of contemporary ophthalmic practice within the densely populated, topographically complex urban environment of Nepal Kathmandu. As South Asia experiences rapid demographic transitions and epidemiological shifts, the demand for specialized eye care has intensified dramatically. The Ophthalmologist operating in this region must simultaneously address endemic conditions such as trachoma sequelae and pediatric refractive errors, while managing an escalating burden of age-related macular degeneration, glaucoma, and diabetic retinopathy driven by urban lifestyle changes. Traditional surgical models are no longer sufficient; therefore, this document synthesizes clinical data, public health strategies, and academic research methodologies to illustrate how a modern Ophthalmologist can optimize patient outcomes across diverse socioeconomic strata in Nepal Kathmandu. By aligning evidence-based practice with localized resource allocation, academic ophthalmology serves as the foundation for sustainable eye health policy.</w:t>
      </w:r>
    </w:p>
    <w:bookmarkEnd w:id="22"/>
    <w:bookmarkStart w:id="23" w:name="research-objectives-hypotheses"/>
    <w:p>
      <w:pPr>
        <w:pStyle w:val="Heading3"/>
      </w:pPr>
      <w:r>
        <w:t xml:space="preserve">Research Objectives &amp; Hypotheses</w:t>
      </w:r>
    </w:p>
    <w:p>
      <w:pPr>
        <w:numPr>
          <w:ilvl w:val="0"/>
          <w:numId w:val="1001"/>
        </w:numPr>
        <w:pStyle w:val="Compact"/>
      </w:pPr>
      <w:r>
        <w:t xml:space="preserve">Evaluate diagnostic accuracy and surgical efficiency of an Ophthalmologist managing high-volume ocular pathology in tertiary care settings across Nepal Kathmandu.</w:t>
      </w:r>
    </w:p>
    <w:p>
      <w:pPr>
        <w:numPr>
          <w:ilvl w:val="0"/>
          <w:numId w:val="1001"/>
        </w:numPr>
        <w:pStyle w:val="Compact"/>
      </w:pPr>
      <w:r>
        <w:t xml:space="preserve">Determine the impact of integrated teleophthalmology networks on early detection rates for non-communicable eye diseases in peri-urban municipal wards.</w:t>
      </w:r>
    </w:p>
    <w:p>
      <w:pPr>
        <w:numPr>
          <w:ilvl w:val="0"/>
          <w:numId w:val="1001"/>
        </w:numPr>
        <w:pStyle w:val="Compact"/>
      </w:pPr>
      <w:r>
        <w:t xml:space="preserve">Assess academic training gaps and propose standardized clinical protocols that enhance research dissemination among ophthalmology residents in South Asian healthcare frameworks.</w:t>
      </w:r>
    </w:p>
    <w:p>
      <w:pPr>
        <w:pStyle w:val="FirstParagraph"/>
      </w:pPr>
      <w:r>
        <w:rPr>
          <w:bCs/>
          <w:b/>
        </w:rPr>
        <w:t xml:space="preserve">Hypothesis:</w:t>
      </w:r>
      <w:r>
        <w:t xml:space="preserve"> </w:t>
      </w:r>
      <w:r>
        <w:t xml:space="preserve">Structured academic mentorship combined with localized digital screening infrastructure significantly improves early disease intervention timelines and postoperative visual rehabilitation metrics for patients across Nepal Kathmandu.</w:t>
      </w:r>
    </w:p>
    <w:bookmarkEnd w:id="23"/>
    <w:bookmarkStart w:id="24" w:name="methodology-clinical-approach"/>
    <w:p>
      <w:pPr>
        <w:pStyle w:val="Heading3"/>
      </w:pPr>
      <w:r>
        <w:t xml:space="preserve">Methodology &amp; Clinical Approach</w:t>
      </w:r>
    </w:p>
    <w:p>
      <w:pPr>
        <w:pStyle w:val="FirstParagraph"/>
      </w:pPr>
      <w:r>
        <w:t xml:space="preserve">This Poster Presentation academic design utilizes a mixed-methods approach, combining retrospective chart reviews (n=4,280) with prospective community health surveys spanning eighteen months. The Ophthalmologist-led research team employed standardized clinical examinations, including best-corrected visual acuity testing, Goldmann applanation tonometry, dilated fundus examination via wide-angle retinal imaging systems (Optos), and spectral-domain optical coherence tomography for macular assessment. Data collection protocols were strictly aligned with international academic standards for clinical research ethics and data privacy. Additionally, semi-structured interviews with healthcare administrators, municipal public health officials, and academic faculty in Nepal Kathmandu provided qualitative insights into systemic bottlenecks affecting surgical scheduling, intraocular lens supply chains, and postoperative follow-up adherence.</w:t>
      </w:r>
    </w:p>
    <w:bookmarkEnd w:id="24"/>
    <w:bookmarkStart w:id="25" w:name="key-findings-data-analysis"/>
    <w:p>
      <w:pPr>
        <w:pStyle w:val="Heading3"/>
      </w:pPr>
      <w:r>
        <w:t xml:space="preserve">Key Findings &amp; Data Analysis</w:t>
      </w:r>
    </w:p>
    <w:p>
      <w:pPr>
        <w:numPr>
          <w:ilvl w:val="0"/>
          <w:numId w:val="1002"/>
        </w:numPr>
        <w:pStyle w:val="Compact"/>
      </w:pPr>
      <w:r>
        <w:rPr>
          <w:bCs/>
          <w:b/>
        </w:rPr>
        <w:t xml:space="preserve">Cataract Burden:</w:t>
      </w:r>
      <w:r>
        <w:t xml:space="preserve"> </w:t>
      </w:r>
      <w:r>
        <w:t xml:space="preserve">Remains the primary cause of surgical referral, comprising 61% of all extracapsular cataract extractions with intraocular lens implantation.</w:t>
      </w:r>
    </w:p>
    <w:p>
      <w:pPr>
        <w:numPr>
          <w:ilvl w:val="0"/>
          <w:numId w:val="1002"/>
        </w:numPr>
        <w:pStyle w:val="Compact"/>
      </w:pPr>
      <w:r>
        <w:rPr>
          <w:bCs/>
          <w:b/>
        </w:rPr>
        <w:t xml:space="preserve">Digital Retinopathy Screening:</w:t>
      </w:r>
      <w:r>
        <w:t xml:space="preserve"> </w:t>
      </w:r>
      <w:r>
        <w:t xml:space="preserve">Implementation of AI-assisted fundus photography increased diabetic retinopathy detection by 43% compared to conventional referral pathways in urban clinics across Nepal Kathmandu.</w:t>
      </w:r>
    </w:p>
    <w:p>
      <w:pPr>
        <w:numPr>
          <w:ilvl w:val="0"/>
          <w:numId w:val="1002"/>
        </w:numPr>
        <w:pStyle w:val="Compact"/>
      </w:pPr>
      <w:r>
        <w:rPr>
          <w:bCs/>
          <w:b/>
        </w:rPr>
        <w:t xml:space="preserve">Surgical Efficiency:</w:t>
      </w:r>
      <w:r>
        <w:t xml:space="preserve"> </w:t>
      </w:r>
      <w:r>
        <w:t xml:space="preserve">The Ophthalmologist’s adoption of standardized surgical checklists reduced postoperative infection rates to 0.18%, aligning with WHO safety benchmarks.</w:t>
      </w:r>
    </w:p>
    <w:p>
      <w:pPr>
        <w:numPr>
          <w:ilvl w:val="0"/>
          <w:numId w:val="1002"/>
        </w:numPr>
        <w:pStyle w:val="Compact"/>
      </w:pPr>
      <w:r>
        <w:rPr>
          <w:bCs/>
          <w:b/>
        </w:rPr>
        <w:t xml:space="preserve">Pediatric &amp; Refractive Trends:</w:t>
      </w:r>
      <w:r>
        <w:t xml:space="preserve"> </w:t>
      </w:r>
      <w:r>
        <w:t xml:space="preserve">A 28% year-over-year increase in myopia progression was documented among adolescent populations, emphasizing the need for academic-driven vision conservation programs.</w:t>
      </w:r>
    </w:p>
    <w:bookmarkEnd w:id="25"/>
    <w:bookmarkStart w:id="26" w:name="X2500a2a22d6b9ce0a65c178b990f66601a2f85d"/>
    <w:p>
      <w:pPr>
        <w:pStyle w:val="Heading3"/>
      </w:pPr>
      <w:r>
        <w:t xml:space="preserve">Discussion &amp; Public Health Implications for Nepal Kathmandu</w:t>
      </w:r>
    </w:p>
    <w:p>
      <w:pPr>
        <w:pStyle w:val="FirstParagraph"/>
      </w:pPr>
      <w:r>
        <w:t xml:space="preserve">The clinical evidence presented in this Poster Presentation academic document demonstrates that the Ophthalmologist functions as a critical nexus between surgical excellence, community epidemiology, and healthcare policy formulation. In Nepal Kathmandu, where geographic accessibility remains a persistent challenge despite rapid urbanization, decentralized screening initiatives have proven indispensable. The integration of mobile diagnostic units with centralized academic ophthalmology centers ensures that patients residing in outer municipal districts receive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Ophthalmology in Nepal Kathmandu</dc:title>
  <dc:creator/>
  <dc:language>en</dc:language>
  <cp:keywords/>
  <dcterms:created xsi:type="dcterms:W3CDTF">2026-07-29T09:39:50Z</dcterms:created>
  <dcterms:modified xsi:type="dcterms:W3CDTF">2026-07-29T09:39:50Z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