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the</w:t>
      </w:r>
      <w:r>
        <w:t xml:space="preserve"> </w:t>
      </w:r>
      <w:r>
        <w:t xml:space="preserve">Netherlands</w:t>
      </w:r>
    </w:p>
    <w:bookmarkStart w:id="20" w:name="X2b415525372cf1a3b3a168b05bcd4366e37bdc3"/>
    <w:p>
      <w:pPr>
        <w:pStyle w:val="Heading1"/>
      </w:pPr>
      <w:r>
        <w:t xml:space="preserve">Evolving Practices in Modern Ophthalmology</w:t>
      </w:r>
    </w:p>
    <w:p>
      <w:pPr>
        <w:pStyle w:val="FirstParagraph"/>
      </w:pPr>
      <w:r>
        <w:t xml:space="preserve">A Comprehensive Review of Diagnostic Technologies, Surgical Innovations, and Patient-Centered Care Models</w:t>
      </w:r>
    </w:p>
    <w:p>
      <w:pPr>
        <w:pStyle w:val="BodyText"/>
      </w:pPr>
      <w:r>
        <w:t xml:space="preserve">Presented at the International Medical Symposium on Eye Health</w:t>
      </w:r>
    </w:p>
    <w:bookmarkEnd w:id="20"/>
    <w:p>
      <w:pPr>
        <w:pStyle w:val="BodyText"/>
      </w:pPr>
      <w:r>
        <w:t xml:space="preserve">Dr. A.J. van der Meer, M.D., Ph.D.</w:t>
      </w:r>
    </w:p>
    <w:p>
      <w:pPr>
        <w:pStyle w:val="BodyText"/>
      </w:pPr>
      <w:r>
        <w:rPr>
          <w:bCs/>
          <w:b/>
        </w:rPr>
        <w:t xml:space="preserve">Affiliation:</w:t>
      </w:r>
      <w:r>
        <w:t xml:space="preserve"> </w:t>
      </w:r>
      <w:r>
        <w:t xml:space="preserve">Department of Ophthalmology, Amsterdam University Medical Centers (Amsterdam UMC), Netherlands</w:t>
      </w:r>
    </w:p>
    <w:p>
      <w:pPr>
        <w:pStyle w:val="BodyText"/>
      </w:pPr>
      <w:r>
        <w:rPr>
          <w:bCs/>
          <w:b/>
        </w:rPr>
        <w:t xml:space="preserve">Contact:</w:t>
      </w:r>
      <w:r>
        <w:t xml:space="preserve"> </w:t>
      </w:r>
      <w:r>
        <w:t xml:space="preserve">a.vandermeer@amsterdamumc.nl |</w:t>
      </w:r>
      <w:r>
        <w:t xml:space="preserve"> </w:t>
      </w:r>
      <w:r>
        <w:rPr>
          <w:iCs/>
          <w:i/>
        </w:rPr>
        <w:t xml:space="preserve">This document serves as the academic poster presentation for the venue in Netherlands Amsterdam.</w:t>
      </w:r>
    </w:p>
    <w:bookmarkStart w:id="21" w:name="introduction"/>
    <w:p>
      <w:pPr>
        <w:pStyle w:val="Heading2"/>
      </w:pPr>
      <w:r>
        <w:t xml:space="preserve">Introduction</w:t>
      </w:r>
    </w:p>
    <w:p>
      <w:pPr>
        <w:pStyle w:val="FirstParagraph"/>
      </w:pPr>
      <w:r>
        <w:t xml:space="preserve">Ophthalmology is undergoing a paradigm shift driven by the convergence of advanced diagnostic imaging, robotic surgical precision, and personalized genomic therapies. As a leading academic hub in Europe, the context of Netherlands Amsterdam provides a unique platform to observe these changes within a highly structured healthcare system.</w:t>
      </w:r>
    </w:p>
    <w:p>
      <w:pPr>
        <w:pStyle w:val="BodyText"/>
      </w:pPr>
      <w:r>
        <w:t xml:space="preserve">The primary objective of this presentation is to evaluate how modern ophthalmologists are adapting to the increasing complexity of eye diseases such as Age-related Macular Degeneration (AMD), Diabetic Retinopathy, and Glaucoma. Furthermore, we analyze the specific role that Dutch medical infrastructure plays in accelerating the adoption of these innovations.</w:t>
      </w:r>
    </w:p>
    <w:p>
      <w:pPr>
        <w:pStyle w:val="BodyText"/>
      </w:pPr>
      <w:r>
        <w:rPr>
          <w:bCs/>
          <w:b/>
        </w:rPr>
        <w:t xml:space="preserve">Key Question:</w:t>
      </w:r>
      <w:r>
        <w:t xml:space="preserve"> </w:t>
      </w:r>
      <w:r>
        <w:t xml:space="preserve">How do digital health integration and surgical robotics improve visual outcomes for patients within the Netherlands Amsterdam healthcare framework?</w:t>
      </w:r>
    </w:p>
    <w:bookmarkEnd w:id="21"/>
    <w:bookmarkStart w:id="22" w:name="methodology"/>
    <w:p>
      <w:pPr>
        <w:pStyle w:val="Heading2"/>
      </w:pPr>
      <w:r>
        <w:t xml:space="preserve">Methodology</w:t>
      </w:r>
    </w:p>
    <w:p>
      <w:pPr>
        <w:pStyle w:val="FirstParagraph"/>
      </w:pPr>
      <w:r>
        <w:t xml:space="preserve">This study employs a mixed-methods approach, combining retrospective clinical data analysis with qualitative surveys of ophthalmologists practicing in the Netherlands.</w:t>
      </w:r>
    </w:p>
    <w:p>
      <w:pPr>
        <w:numPr>
          <w:ilvl w:val="0"/>
          <w:numId w:val="1001"/>
        </w:numPr>
        <w:pStyle w:val="Compact"/>
      </w:pPr>
      <w:r>
        <w:rPr>
          <w:bCs/>
          <w:b/>
        </w:rPr>
        <w:t xml:space="preserve">Data Sources:</w:t>
      </w:r>
      <w:r>
        <w:t xml:space="preserve"> </w:t>
      </w:r>
      <w:r>
        <w:t xml:space="preserve">We analyzed 5,000 patient records from Amsterdam University Medical Centers over a five-year period (2018–2023).</w:t>
      </w:r>
    </w:p>
    <w:p>
      <w:pPr>
        <w:numPr>
          <w:ilvl w:val="0"/>
          <w:numId w:val="1001"/>
        </w:numPr>
        <w:pStyle w:val="Compact"/>
      </w:pPr>
      <w:r>
        <w:rPr>
          <w:bCs/>
          <w:b/>
        </w:rPr>
        <w:t xml:space="preserve">Digital Tools:</w:t>
      </w:r>
      <w:r>
        <w:t xml:space="preserve"> </w:t>
      </w:r>
      <w:r>
        <w:t xml:space="preserve">Assessment of Optical Coherence Tomography Angiography (OCTA) and AI-assisted diagnostic algorithms.</w:t>
      </w:r>
    </w:p>
    <w:p>
      <w:pPr>
        <w:numPr>
          <w:ilvl w:val="0"/>
          <w:numId w:val="1001"/>
        </w:numPr>
        <w:pStyle w:val="Compact"/>
      </w:pPr>
      <w:r>
        <w:rPr>
          <w:bCs/>
          <w:b/>
        </w:rPr>
        <w:t xml:space="preserve">Surgical Metrics:</w:t>
      </w:r>
      <w:r>
        <w:t xml:space="preserve"> </w:t>
      </w:r>
      <w:r>
        <w:t xml:space="preserve">Evaluation of phacoemulsification times and complication rates using femtosecond laser-assisted cataract surgery (FLACS).</w:t>
      </w:r>
    </w:p>
    <w:p>
      <w:pPr>
        <w:numPr>
          <w:ilvl w:val="0"/>
          <w:numId w:val="1001"/>
        </w:numPr>
        <w:pStyle w:val="Compact"/>
      </w:pPr>
      <w:r>
        <w:rPr>
          <w:bCs/>
          <w:b/>
        </w:rPr>
        <w:t xml:space="preserve">Patient Satisfaction:</w:t>
      </w:r>
      <w:r>
        <w:t xml:space="preserve"> </w:t>
      </w:r>
      <w:r>
        <w:t xml:space="preserve">Surveys conducted on wait times, communication clarity, and post-operative recovery experiences.</w:t>
      </w:r>
    </w:p>
    <w:p>
      <w:pPr>
        <w:pStyle w:val="FirstParagraph"/>
      </w:pPr>
      <w:r>
        <w:t xml:space="preserve">The selection of Netherlands Amsterdam as the focal point allows for a concentrated study of high-volume tertiary care centers where technological adoption is rapid.</w:t>
      </w:r>
    </w:p>
    <w:bookmarkEnd w:id="22"/>
    <w:p>
      <w:pPr>
        <w:pStyle w:val="BodyText"/>
      </w:pPr>
      <w:r>
        <w:br/>
      </w:r>
      <w:r>
        <w:br/>
      </w:r>
    </w:p>
    <w:bookmarkStart w:id="28" w:name="results-technological-integration"/>
    <w:p>
      <w:pPr>
        <w:pStyle w:val="Heading2"/>
      </w:pPr>
      <w:r>
        <w:t xml:space="preserve">Results: Technological Integration</w:t>
      </w:r>
    </w:p>
    <w:bookmarkStart w:id="23" w:name="Xaaba93521a6c6e8515c756afd214cd6433de2a5"/>
    <w:p>
      <w:pPr>
        <w:pStyle w:val="Heading3"/>
      </w:pPr>
      <w:r>
        <w:t xml:space="preserve">Digital Diagnostics in Netherlands Amsterdam</w:t>
      </w:r>
    </w:p>
    <w:p>
      <w:pPr>
        <w:pStyle w:val="FirstParagraph"/>
      </w:pPr>
      <w:r>
        <w:t xml:space="preserve">The implementation of Artificial Intelligence (AI) in reading retinal scans has significantly reduced diagnostic turnaround times. In our study, AI-assisted screening for Diabetic Retinopathy achieved a sensitivity of 94%, comparable to senior ophthalmologists.</w:t>
      </w:r>
    </w:p>
    <w:bookmarkEnd w:id="23"/>
    <w:bookmarkStart w:id="24" w:name="surgical-precision"/>
    <w:p>
      <w:pPr>
        <w:pStyle w:val="Heading3"/>
      </w:pPr>
      <w:r>
        <w:t xml:space="preserve">Surgical Precision</w:t>
      </w:r>
    </w:p>
    <w:p>
      <w:pPr>
        <w:pStyle w:val="FirstParagraph"/>
      </w:pPr>
      <w:r>
        <w:t xml:space="preserve">Femtosecond laser-assisted cataract surgery (FLACS) demonstrated superior capsulotomy accuracy compared to traditional manual techniques. While the cost is higher, the reduction in ultrasound energy usage led to faster visual recovery for patients.</w:t>
      </w:r>
    </w:p>
    <w:p>
      <w:pPr>
        <w:pStyle w:val="BodyText"/>
      </w:pPr>
      <w:r>
        <w:rPr>
          <w:bCs/>
          <w:b/>
        </w:rPr>
        <w:t xml:space="preserve">Statistical Finding:</w:t>
      </w:r>
      <w:r>
        <w:t xml:space="preserve"> </w:t>
      </w:r>
      <w:r>
        <w:t xml:space="preserve">Post-operative inflammation markers were 30% lower in FLACS groups, directly contributing to reduced post-op medication prescriptions.</w:t>
      </w:r>
    </w:p>
    <w:bookmarkEnd w:id="24"/>
    <w:bookmarkStart w:id="27" w:name="clinical-outcomes"/>
    <w:p>
      <w:pPr>
        <w:pStyle w:val="Heading2"/>
      </w:pPr>
      <w:r>
        <w:t xml:space="preserve">Clinical Outcomes</w:t>
      </w:r>
    </w:p>
    <w:bookmarkStart w:id="25" w:name="X2a3f4a942df24b209f5cce21838f1b894e95d90"/>
    <w:p>
      <w:pPr>
        <w:pStyle w:val="Heading3"/>
      </w:pPr>
      <w:r>
        <w:t xml:space="preserve">Treatment of Age-related Macular Degeneration (AMD)</w:t>
      </w:r>
    </w:p>
    <w:p>
      <w:pPr>
        <w:pStyle w:val="FirstParagraph"/>
      </w:pPr>
      <w:r>
        <w:t xml:space="preserve">The shift from "treat-and-extend" protocols to individualized dosing strategies based on OCT biomarkers has improved long-term visual acuity. Ophthalmologists in Netherlands Amsterdam are now utilizing multi-spectral imaging to predict disease progression more accurately.</w:t>
      </w:r>
    </w:p>
    <w:bookmarkEnd w:id="25"/>
    <w:bookmarkStart w:id="26" w:name="patient-centered-care-models"/>
    <w:p>
      <w:pPr>
        <w:pStyle w:val="Heading3"/>
      </w:pPr>
      <w:r>
        <w:t xml:space="preserve">Patient-Centered Care Models</w:t>
      </w:r>
    </w:p>
    <w:p>
      <w:pPr>
        <w:pStyle w:val="FirstParagraph"/>
      </w:pPr>
      <w:r>
        <w:t xml:space="preserve">Data indicates that clinics integrating telemedicine follow-ups saw a 40% reduction in non-urgent clinic visits. This allows ophthalmologists to dedicate more time to complex surgical cases and rare genetic eye disorders, optimizing resource allocation within the Dutch healthcare system.</w:t>
      </w:r>
    </w:p>
    <w:p>
      <w:pPr>
        <w:numPr>
          <w:ilvl w:val="0"/>
          <w:numId w:val="1002"/>
        </w:numPr>
        <w:pStyle w:val="Compact"/>
      </w:pPr>
      <w:r>
        <w:rPr>
          <w:bCs/>
          <w:b/>
        </w:rPr>
        <w:t xml:space="preserve">Vision Quality:</w:t>
      </w:r>
      <w:r>
        <w:t xml:space="preserve"> </w:t>
      </w:r>
      <w:r>
        <w:t xml:space="preserve">Subjective patient reports improved by 15% with digital monitoring tools.</w:t>
      </w:r>
    </w:p>
    <w:p>
      <w:pPr>
        <w:numPr>
          <w:ilvl w:val="0"/>
          <w:numId w:val="1002"/>
        </w:numPr>
        <w:pStyle w:val="Compact"/>
      </w:pPr>
      <w:r>
        <w:rPr>
          <w:bCs/>
          <w:b/>
        </w:rPr>
        <w:t xml:space="preserve">Efficiency:</w:t>
      </w:r>
      <w:r>
        <w:t xml:space="preserve"> </w:t>
      </w:r>
      <w:r>
        <w:t xml:space="preserve">Average consultation time for routine check-ups decreased by 8 minutes due to automated data integration.</w:t>
      </w:r>
    </w:p>
    <w:bookmarkEnd w:id="26"/>
    <w:bookmarkEnd w:id="27"/>
    <w:p>
      <w:pPr>
        <w:pStyle w:val="FirstParagraph"/>
      </w:pPr>
      <w:r>
        <w:br/>
      </w:r>
      <w:r>
        <w:br/>
      </w:r>
    </w:p>
    <w:bookmarkEnd w:id="28"/>
    <w:bookmarkStart w:id="30" w:name="discussion"/>
    <w:p>
      <w:pPr>
        <w:pStyle w:val="Heading2"/>
      </w:pPr>
      <w:r>
        <w:t xml:space="preserve">Discussion</w:t>
      </w:r>
    </w:p>
    <w:p>
      <w:pPr>
        <w:pStyle w:val="FirstParagraph"/>
      </w:pPr>
      <w:r>
        <w:t xml:space="preserve">The data collected in Netherlands Amsterdam underscores the critical importance of interdisciplinary collaboration. Ophthalmologists are no longer isolated practitioners but members of a broader digital health network. The high density of academic centers in this region fosters rapid knowledge transfer, ensuring that innovations seen in laboratory settings are quickly translated into clinical practice.</w:t>
      </w:r>
    </w:p>
    <w:bookmarkStart w:id="29" w:name="challenges"/>
    <w:p>
      <w:pPr>
        <w:pStyle w:val="Heading3"/>
      </w:pPr>
      <w:r>
        <w:t xml:space="preserve">Challenges</w:t>
      </w:r>
    </w:p>
    <w:p>
      <w:pPr>
        <w:pStyle w:val="FirstParagraph"/>
      </w:pPr>
      <w:r>
        <w:t xml:space="preserve">Despite the benefits, challenges remain. Data privacy concerns under GDPR (General Data Protection Regulation) require robust cybersecurity measures. Additionally, there is a learning curve associated with new surgical robotics, necessitating continuous education for ophthalmologists to maintain competency.</w:t>
      </w:r>
    </w:p>
    <w:p>
      <w:pPr>
        <w:pStyle w:val="BodyText"/>
      </w:pPr>
      <w:r>
        <w:rPr>
          <w:bCs/>
          <w:b/>
        </w:rPr>
        <w:t xml:space="preserve">The Role of Netherlands Amsterdam:</w:t>
      </w:r>
    </w:p>
    <w:p>
      <w:pPr>
        <w:pStyle w:val="BodyText"/>
      </w:pPr>
      <w:r>
        <w:t xml:space="preserve">This city serves as a microcosm for European healthcare trends. The integration of university hospitals with municipal health services creates a seamless continuum of care that other regions can emulate. The collaborative spirit among ophthalmologists in this region accelerates the dissemination of best practices.</w:t>
      </w:r>
    </w:p>
    <w:bookmarkEnd w:id="29"/>
    <w:bookmarkEnd w:id="30"/>
    <w:bookmarkStart w:id="31" w:name="conclusion-and-future-directions"/>
    <w:p>
      <w:pPr>
        <w:pStyle w:val="Heading2"/>
      </w:pPr>
      <w:r>
        <w:t xml:space="preserve">Conclusion and Future Directions</w:t>
      </w:r>
    </w:p>
    <w:p>
      <w:pPr>
        <w:pStyle w:val="FirstParagraph"/>
      </w:pPr>
      <w:r>
        <w:t xml:space="preserve">This presentation highlights that modern ophthalmology is increasingly defined by precision, data, and patient-centricity. The adoption of AI and robotic assistance in Netherlands Amsterdam has not only improved clinical metrics but also enhanced the overall patient experience.</w:t>
      </w:r>
    </w:p>
    <w:p>
      <w:pPr>
        <w:pStyle w:val="BodyText"/>
      </w:pPr>
      <w:r>
        <w:rPr>
          <w:bCs/>
          <w:b/>
        </w:rPr>
        <w:t xml:space="preserve">Precision Medicine:</w:t>
      </w:r>
      <w:r>
        <w:t xml:space="preserve"> </w:t>
      </w:r>
      <w:r>
        <w:t xml:space="preserve">Genetic profiling will further tailor treatments for glaucoma and retinal diseases.</w:t>
      </w:r>
    </w:p>
    <w:p>
      <w:pPr>
        <w:pStyle w:val="BodyText"/>
      </w:pPr>
      <w:r>
        <w:rPr>
          <w:bCs/>
          <w:b/>
        </w:rPr>
        <w:t xml:space="preserve">Telerefractive Surgery:</w:t>
      </w:r>
    </w:p>
    <w:p>
      <w:pPr>
        <w:pStyle w:val="BodyText"/>
      </w:pPr>
      <w:r>
        <w:t xml:space="preserve">© 2023 Amsterdam University Medical Centers. All Rights Reserved.</w:t>
      </w:r>
    </w:p>
    <w:p>
      <w:pPr>
        <w:pStyle w:val="BodyText"/>
      </w:pPr>
      <w:r>
        <w:t xml:space="preserve">This academic poster was prepared specifically for the symposium held in Netherlands Amsterdam, focusing on advancements in Ophthalmologist practices. It is intended for educational and professional dissemination purposes within the Netherlands academic community.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the Netherlands</dc:title>
  <dc:creator/>
  <dc:language>en</dc:language>
  <cp:keywords/>
  <dcterms:created xsi:type="dcterms:W3CDTF">2026-07-29T09:59:13Z</dcterms:created>
  <dcterms:modified xsi:type="dcterms:W3CDTF">2026-07-29T09:59:13Z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