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Ophthalmologist</w:t>
      </w:r>
      <w:r>
        <w:t xml:space="preserve"> </w:t>
      </w:r>
      <w:r>
        <w:t xml:space="preserve">Practice</w:t>
      </w:r>
      <w:r>
        <w:t xml:space="preserve"> </w:t>
      </w:r>
      <w:r>
        <w:t xml:space="preserve">in</w:t>
      </w:r>
      <w:r>
        <w:t xml:space="preserve"> </w:t>
      </w:r>
      <w:r>
        <w:t xml:space="preserve">Nigeria</w:t>
      </w:r>
      <w:r>
        <w:t xml:space="preserve"> </w:t>
      </w:r>
      <w:r>
        <w:t xml:space="preserve">Abuja</w:t>
      </w:r>
    </w:p>
    <w:bookmarkStart w:id="31" w:name="X7760a0316b6a5ebfc2ad4ee7910b8d19d67b832"/>
    <w:p>
      <w:pPr>
        <w:pStyle w:val="Heading1"/>
      </w:pPr>
      <w:r>
        <w:t xml:space="preserve">Advancing Vision Care: The Role of the Modern Ophthalmologist in Addressing Burdened Eye Diseases within Nigeria, Abuja</w:t>
      </w:r>
    </w:p>
    <w:bookmarkStart w:id="22" w:name="introduction"/>
    <w:p>
      <w:pPr>
        <w:pStyle w:val="Heading2"/>
      </w:pPr>
      <w:r>
        <w:t xml:space="preserve">Introduction</w:t>
      </w:r>
    </w:p>
    <w:p>
      <w:pPr>
        <w:pStyle w:val="FirstParagraph"/>
      </w:pPr>
      <w:r>
        <w:t xml:space="preserve">The preservation of visual health is a cornerstone of public well-being, yet it remains disproportionately challenged in many developing regions. This poster presentation explores the critical role played by an</w:t>
      </w:r>
      <w:r>
        <w:t xml:space="preserve"> </w:t>
      </w:r>
      <w:r>
        <w:rPr>
          <w:bCs/>
          <w:b/>
        </w:rPr>
        <w:t xml:space="preserve">Ophthalmologist</w:t>
      </w:r>
      <w:r>
        <w:t xml:space="preserve"> </w:t>
      </w:r>
      <w:r>
        <w:t xml:space="preserve">within the specific socio-geographic and healthcare landscape of</w:t>
      </w:r>
      <w:r>
        <w:t xml:space="preserve"> </w:t>
      </w:r>
      <w:r>
        <w:rPr>
          <w:bCs/>
          <w:b/>
        </w:rPr>
        <w:t xml:space="preserve">Nigeria Abuja</w:t>
      </w:r>
      <w:r>
        <w:t xml:space="preserve">. As the capital city, Abuja serves as a unique microcosm for national health policies, yet significant disparities in ocular care persist.</w:t>
      </w:r>
    </w:p>
    <w:bookmarkStart w:id="20" w:name="background-and-significance"/>
    <w:p>
      <w:pPr>
        <w:pStyle w:val="Heading3"/>
      </w:pPr>
      <w:r>
        <w:t xml:space="preserve">Background and Significance</w:t>
      </w:r>
    </w:p>
    <w:p>
      <w:pPr>
        <w:pStyle w:val="FirstParagraph"/>
      </w:pPr>
      <w:r>
        <w:t xml:space="preserve">The global burden of eye disease is shifting. While infectious causes such as trachoma still pose threats, non-communicable diseases (NCDs) like cataracts, glaucoma, and diabetic retinopathy are rapidly rising. In</w:t>
      </w:r>
      <w:r>
        <w:t xml:space="preserve"> </w:t>
      </w:r>
      <w:r>
        <w:rPr>
          <w:bCs/>
          <w:b/>
        </w:rPr>
        <w:t xml:space="preserve">Nigeria Abuja</w:t>
      </w:r>
      <w:r>
        <w:t xml:space="preserve">, urbanization and lifestyle changes have contributed to a surge in diabetes-related eye complications. An</w:t>
      </w:r>
      <w:r>
        <w:t xml:space="preserve"> </w:t>
      </w:r>
      <w:r>
        <w:rPr>
          <w:bCs/>
          <w:b/>
        </w:rPr>
        <w:t xml:space="preserve">Ophthalmologist</w:t>
      </w:r>
      <w:r>
        <w:t xml:space="preserve"> </w:t>
      </w:r>
      <w:r>
        <w:t xml:space="preserve">is not merely a surgeon but a primary diagnostician who must navigate these dual challenges effectively.</w:t>
      </w:r>
    </w:p>
    <w:bookmarkEnd w:id="20"/>
    <w:bookmarkStart w:id="21" w:name="key-demographic-data"/>
    <w:p>
      <w:pPr>
        <w:pStyle w:val="Heading3"/>
      </w:pPr>
      <w:r>
        <w:t xml:space="preserve">Key Demographic Data</w:t>
      </w:r>
    </w:p>
    <w:p>
      <w:pPr>
        <w:numPr>
          <w:ilvl w:val="0"/>
          <w:numId w:val="1001"/>
        </w:numPr>
        <w:pStyle w:val="Compact"/>
      </w:pPr>
      <w:r>
        <w:rPr>
          <w:bCs/>
          <w:b/>
        </w:rPr>
        <w:t xml:space="preserve">Rapid Urbanization:</w:t>
      </w:r>
      <w:r>
        <w:t xml:space="preserve"> </w:t>
      </w:r>
      <w:r>
        <w:t xml:space="preserve">Abuja's population growth strains existing ophthalmic infrastructure.</w:t>
      </w:r>
    </w:p>
    <w:p>
      <w:pPr>
        <w:numPr>
          <w:ilvl w:val="0"/>
          <w:numId w:val="1001"/>
        </w:numPr>
        <w:pStyle w:val="Compact"/>
      </w:pPr>
      <w:r>
        <w:rPr>
          <w:bCs/>
          <w:b/>
        </w:rPr>
        <w:t xml:space="preserve">Epidemiological Transition:</w:t>
      </w:r>
      <w:r>
        <w:t xml:space="preserve"> </w:t>
      </w:r>
      <w:r>
        <w:t xml:space="preserve">Increase in NCDs requiring long-term management by an Ophthalmologist.</w:t>
      </w:r>
    </w:p>
    <w:p>
      <w:pPr>
        <w:numPr>
          <w:ilvl w:val="0"/>
          <w:numId w:val="1001"/>
        </w:numPr>
        <w:pStyle w:val="Compact"/>
      </w:pPr>
      <w:r>
        <w:rPr>
          <w:bCs/>
          <w:b/>
        </w:rPr>
        <w:t xml:space="preserve">Patient Volume:</w:t>
      </w:r>
      <w:r>
        <w:t xml:space="preserve"> </w:t>
      </w:r>
      <w:r>
        <w:t xml:space="preserve">High demand for affordable and accessible vision care services across all social strata.</w:t>
      </w:r>
    </w:p>
    <w:bookmarkEnd w:id="21"/>
    <w:bookmarkEnd w:id="22"/>
    <w:bookmarkStart w:id="26" w:name="clinical-landscape-challenges"/>
    <w:p>
      <w:pPr>
        <w:pStyle w:val="Heading2"/>
      </w:pPr>
      <w:r>
        <w:t xml:space="preserve">Clinical Landscape &amp; Challenges</w:t>
      </w:r>
    </w:p>
    <w:p>
      <w:pPr>
        <w:pStyle w:val="FirstParagraph"/>
      </w:pPr>
      <w:r>
        <w:t xml:space="preserve">The practice of an</w:t>
      </w:r>
      <w:r>
        <w:t xml:space="preserve"> </w:t>
      </w:r>
      <w:r>
        <w:rPr>
          <w:bCs/>
          <w:b/>
        </w:rPr>
        <w:t xml:space="preserve">Ophthalmologist</w:t>
      </w:r>
      <w:r>
        <w:t xml:space="preserve"> </w:t>
      </w:r>
      <w:r>
        <w:t xml:space="preserve">in this region is defined by resource constraints and high patient volume. Unlike Western contexts, the Nigerian Abuja setting often requires a "task-shifting" approach where the Ophthalmologist collaborates closely with optometrists and community health workers.</w:t>
      </w:r>
    </w:p>
    <w:bookmarkStart w:id="23" w:name="resource-limitations"/>
    <w:p>
      <w:pPr>
        <w:pStyle w:val="Heading3"/>
      </w:pPr>
      <w:r>
        <w:t xml:space="preserve">Resource Limitations</w:t>
      </w:r>
    </w:p>
    <w:p>
      <w:pPr>
        <w:pStyle w:val="FirstParagraph"/>
      </w:pPr>
      <w:r>
        <w:t xml:space="preserve">A major hurdle is the accessibility of advanced diagnostic equipment. While major hospitals in central Abuja may possess OCT (Optical Coherence Tomography) and visual field analyzers, peripheral clinics often lack these tools. An</w:t>
      </w:r>
      <w:r>
        <w:t xml:space="preserve"> </w:t>
      </w:r>
      <w:r>
        <w:rPr>
          <w:bCs/>
          <w:b/>
        </w:rPr>
        <w:t xml:space="preserve">Ophthalmologist</w:t>
      </w:r>
      <w:r>
        <w:t xml:space="preserve"> </w:t>
      </w:r>
      <w:r>
        <w:t xml:space="preserve">must therefore rely heavily on clinical examination skills using slit lamps and indirect ophthalmoscopy to make accurate diagnoses.</w:t>
      </w:r>
    </w:p>
    <w:bookmarkEnd w:id="23"/>
    <w:bookmarkStart w:id="24" w:name="educational-gaps"/>
    <w:p>
      <w:pPr>
        <w:pStyle w:val="Heading3"/>
      </w:pPr>
      <w:r>
        <w:t xml:space="preserve">Educational Gaps</w:t>
      </w:r>
    </w:p>
    <w:p>
      <w:pPr>
        <w:pStyle w:val="FirstParagraph"/>
      </w:pPr>
      <w:r>
        <w:t xml:space="preserve">Patient awareness remains a significant barrier. Many individuals present with advanced pathology because they do not recognize early symptoms. The role of the</w:t>
      </w:r>
      <w:r>
        <w:t xml:space="preserve"> </w:t>
      </w:r>
      <w:r>
        <w:rPr>
          <w:bCs/>
          <w:b/>
        </w:rPr>
        <w:t xml:space="preserve">Ophthalmologist</w:t>
      </w:r>
      <w:r>
        <w:t xml:space="preserve"> </w:t>
      </w:r>
      <w:r>
        <w:t xml:space="preserve">extends into community education, emphasizing the importance of routine screenings for diabetic and hypertensive patients living in the FCT (Federal Capital Territory).</w:t>
      </w:r>
    </w:p>
    <w:bookmarkEnd w:id="24"/>
    <w:bookmarkStart w:id="25" w:name="clinical-priorities"/>
    <w:p>
      <w:pPr>
        <w:pStyle w:val="Heading3"/>
      </w:pPr>
      <w:r>
        <w:t xml:space="preserve">Clinical Priorities</w:t>
      </w:r>
    </w:p>
    <w:p>
      <w:pPr>
        <w:numPr>
          <w:ilvl w:val="0"/>
          <w:numId w:val="1002"/>
        </w:numPr>
        <w:pStyle w:val="Compact"/>
      </w:pPr>
      <w:r>
        <w:rPr>
          <w:bCs/>
          <w:b/>
        </w:rPr>
        <w:t xml:space="preserve">Cataract Surgery:</w:t>
      </w:r>
      <w:r>
        <w:t xml:space="preserve"> </w:t>
      </w:r>
      <w:r>
        <w:t xml:space="preserve">High-volume, low-cost procedures remain the primary curative intervention.</w:t>
      </w:r>
    </w:p>
    <w:p>
      <w:pPr>
        <w:numPr>
          <w:ilvl w:val="0"/>
          <w:numId w:val="1002"/>
        </w:numPr>
        <w:pStyle w:val="Compact"/>
      </w:pPr>
      <w:r>
        <w:rPr>
          <w:bCs/>
          <w:b/>
        </w:rPr>
        <w:t xml:space="preserve">Glaucoma Management:</w:t>
      </w:r>
      <w:r>
        <w:t xml:space="preserve"> </w:t>
      </w:r>
      <w:r>
        <w:t xml:space="preserve">Emphasis on early detection due to irreversible nature of vision loss.</w:t>
      </w:r>
    </w:p>
    <w:p>
      <w:pPr>
        <w:numPr>
          <w:ilvl w:val="0"/>
          <w:numId w:val="1002"/>
        </w:numPr>
        <w:pStyle w:val="Compact"/>
      </w:pPr>
      <w:r>
        <w:rPr>
          <w:bCs/>
          <w:b/>
        </w:rPr>
        <w:t xml:space="preserve">Trauma Care:</w:t>
      </w:r>
      <w:r>
        <w:t xml:space="preserve"> </w:t>
      </w:r>
      <w:r>
        <w:t xml:space="preserve">Managing ocular injuries resulting from occupational hazards and accidents.</w:t>
      </w:r>
    </w:p>
    <w:bookmarkEnd w:id="25"/>
    <w:bookmarkEnd w:id="26"/>
    <w:bookmarkStart w:id="30" w:name="strategic-interventions"/>
    <w:p>
      <w:pPr>
        <w:pStyle w:val="Heading2"/>
      </w:pPr>
      <w:r>
        <w:t xml:space="preserve">Strategic Interventions</w:t>
      </w:r>
    </w:p>
    <w:p>
      <w:pPr>
        <w:pStyle w:val="FirstParagraph"/>
      </w:pPr>
      <w:r>
        <w:t xml:space="preserve">To optimize outcomes, a multifaceted strategy is required. The modern</w:t>
      </w:r>
      <w:r>
        <w:t xml:space="preserve"> </w:t>
      </w:r>
      <w:r>
        <w:rPr>
          <w:bCs/>
          <w:b/>
        </w:rPr>
        <w:t xml:space="preserve">Ophthalmologist</w:t>
      </w:r>
      <w:r>
        <w:t xml:space="preserve"> </w:t>
      </w:r>
      <w:r>
        <w:t xml:space="preserve">in Abuja must leverage telemedicine technologies to bridge the gap between specialized care and remote areas. Furthermore, public-private partnerships can enhance funding for essential medicines and surgical supplies.</w:t>
      </w:r>
    </w:p>
    <w:bookmarkStart w:id="27" w:name="sustainable-models"/>
    <w:p>
      <w:pPr>
        <w:pStyle w:val="Heading3"/>
      </w:pPr>
      <w:r>
        <w:t xml:space="preserve">Sustainable Models</w:t>
      </w:r>
    </w:p>
    <w:p>
      <w:pPr>
        <w:pStyle w:val="FirstParagraph"/>
      </w:pPr>
      <w:r>
        <w:t xml:space="preserve">Training local healthcare workers to perform basic screenings creates a robust referral system. By empowering non-specialist providers, the</w:t>
      </w:r>
      <w:r>
        <w:t xml:space="preserve"> </w:t>
      </w:r>
      <w:r>
        <w:rPr>
          <w:bCs/>
          <w:b/>
        </w:rPr>
        <w:t xml:space="preserve">Ophthalmologist</w:t>
      </w:r>
      <w:r>
        <w:t xml:space="preserve"> </w:t>
      </w:r>
      <w:r>
        <w:t xml:space="preserve">can focus on complex cases and surgical interventions, thereby increasing overall efficiency. This collaborative model is essential for scaling up eye health services in a rapidly growing city like Abuja.</w:t>
      </w:r>
    </w:p>
    <w:bookmarkEnd w:id="27"/>
    <w:bookmarkStart w:id="28" w:name="conclusion"/>
    <w:p>
      <w:pPr>
        <w:pStyle w:val="Heading3"/>
      </w:pPr>
      <w:r>
        <w:t xml:space="preserve">Conclusion</w:t>
      </w:r>
    </w:p>
    <w:p>
      <w:pPr>
        <w:pStyle w:val="FirstParagraph"/>
      </w:pPr>
      <w:r>
        <w:t xml:space="preserve">The role of the</w:t>
      </w:r>
      <w:r>
        <w:t xml:space="preserve"> </w:t>
      </w:r>
      <w:r>
        <w:rPr>
          <w:bCs/>
          <w:b/>
        </w:rPr>
        <w:t xml:space="preserve">Ophthalmologist</w:t>
      </w:r>
      <w:r>
        <w:t xml:space="preserve"> </w:t>
      </w:r>
      <w:r>
        <w:t xml:space="preserve">in</w:t>
      </w:r>
      <w:r>
        <w:t xml:space="preserve"> </w:t>
      </w:r>
      <w:r>
        <w:rPr>
          <w:bCs/>
          <w:b/>
        </w:rPr>
        <w:t xml:space="preserve">Nigeria Abuja</w:t>
      </w:r>
      <w:r>
        <w:t xml:space="preserve"> </w:t>
      </w:r>
      <w:r>
        <w:t xml:space="preserve">is pivotal yet demanding. It requires a blend of surgical excellence, diagnostic acumen, and community engagement. Addressing the dual burden of cataracts and NCD-related vision loss necessitates innovative approaches tailored to local realities.</w:t>
      </w:r>
    </w:p>
    <w:bookmarkEnd w:id="28"/>
    <w:bookmarkStart w:id="29" w:name="future-directions"/>
    <w:p>
      <w:pPr>
        <w:pStyle w:val="Heading3"/>
      </w:pPr>
      <w:r>
        <w:t xml:space="preserve">Future Directions</w:t>
      </w:r>
    </w:p>
    <w:p>
      <w:pPr>
        <w:pStyle w:val="FirstParagraph"/>
      </w:pPr>
      <w:r>
        <w:t xml:space="preserve">We recommend increased investment in ophthalmic training programs within the FCT. Strengthening referral networks and integrating eye health into primary care will ensure that the expertise of the</w:t>
      </w:r>
      <w:r>
        <w:t xml:space="preserve"> </w:t>
      </w:r>
      <w:r>
        <w:rPr>
          <w:bCs/>
          <w:b/>
        </w:rPr>
        <w:t xml:space="preserve">Ophthalmologist</w:t>
      </w:r>
      <w:r>
        <w:t xml:space="preserve"> </w:t>
      </w:r>
      <w:r>
        <w:t xml:space="preserve">reaches all citizens of</w:t>
      </w:r>
      <w:r>
        <w:t xml:space="preserve"> </w:t>
      </w:r>
      <w:r>
        <w:rPr>
          <w:bCs/>
          <w:b/>
        </w:rPr>
        <w:t xml:space="preserve">Nigeria Abuja</w:t>
      </w:r>
      <w:r>
        <w:t xml:space="preserve">, ultimately reducing avoidable blindness.</w:t>
      </w:r>
    </w:p>
    <w:bookmarkEnd w:id="29"/>
    <w:bookmarkEnd w:id="30"/>
    <w:p>
      <w:pPr>
        <w:pStyle w:val="BodyText"/>
      </w:pPr>
      <w:r>
        <w:rPr>
          <w:bCs/>
          <w:b/>
        </w:rPr>
        <w:t xml:space="preserve">Acknowledgments:</w:t>
      </w:r>
      <w:r>
        <w:t xml:space="preserve"> </w:t>
      </w:r>
      <w:r>
        <w:t xml:space="preserve">Special thanks to the staff at major eye hospitals in Abuja for their data support regarding Ophthalmologist workflows.</w:t>
      </w:r>
    </w:p>
    <w:p>
      <w:pPr>
        <w:pStyle w:val="BodyText"/>
      </w:pPr>
      <w:r>
        <w:rPr>
          <w:bCs/>
          <w:b/>
        </w:rPr>
        <w:t xml:space="preserve">Contact Information:</w:t>
      </w:r>
      <w:r>
        <w:t xml:space="preserve"> </w:t>
      </w:r>
      <w:r>
        <w:t xml:space="preserve">[Author Name], Department of Ophthalmology, Academic Teaching Hospital, Abuja, Nigeria. Email: academic.research@ophthalmology-ng.edu | Phone: +234-XXX-XXXX</w:t>
      </w:r>
    </w:p>
    <w:p>
      <w:pPr>
        <w:pStyle w:val="BodyText"/>
      </w:pPr>
      <w:r>
        <w:rPr>
          <w:bCs/>
          <w:b/>
        </w:rPr>
        <w:t xml:space="preserve">References:</w:t>
      </w:r>
      <w:r>
        <w:t xml:space="preserve"> </w:t>
      </w:r>
      <w:r>
        <w:t xml:space="preserve">Selected references available upon request or via QR code link provided on the digital version of this poster presentation.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Ophthalmologist Practice in Nigeria Abuja</dc:title>
  <dc:creator/>
  <dc:language>en</dc:language>
  <cp:keywords/>
  <dcterms:created xsi:type="dcterms:W3CDTF">2026-07-29T20:33:27Z</dcterms:created>
  <dcterms:modified xsi:type="dcterms:W3CDTF">2026-07-29T20:33:27Z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