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Russia</w:t>
      </w:r>
      <w:r>
        <w:t xml:space="preserve"> </w:t>
      </w:r>
      <w:r>
        <w:t xml:space="preserve">Moscow</w:t>
      </w:r>
    </w:p>
    <w:bookmarkStart w:id="21" w:name="X0b02f7b48617a0d3813c0c8d7d8d257607e2316"/>
    <w:p>
      <w:pPr>
        <w:pStyle w:val="Heading1"/>
      </w:pPr>
      <w:r>
        <w:t xml:space="preserve">Ophthalmologist: Advancements in Vision Care</w:t>
      </w:r>
    </w:p>
    <w:bookmarkStart w:id="20" w:name="X7a50117aa047686d9bec6e9bb3ba132bc04fbf8"/>
    <w:p>
      <w:pPr>
        <w:pStyle w:val="Heading2"/>
      </w:pPr>
      <w:r>
        <w:t xml:space="preserve">Focusing on Innovation and Patient Outcomes in Russia, Moscow</w:t>
      </w:r>
    </w:p>
    <w:p>
      <w:pPr>
        <w:pStyle w:val="FirstParagraph"/>
      </w:pPr>
      <w:r>
        <w:rPr>
          <w:bCs/>
          <w:b/>
        </w:rPr>
        <w:t xml:space="preserve">Lead Researcher:</w:t>
      </w:r>
      <w:r>
        <w:t xml:space="preserve"> </w:t>
      </w:r>
      <w:r>
        <w:t xml:space="preserve">Dr. Alexei Volkov &amp; The Moscow Institute of Ocular Health Team</w:t>
      </w:r>
      <w:r>
        <w:br/>
      </w:r>
      <w:r>
        <w:rPr>
          <w:bCs/>
          <w:b/>
        </w:rPr>
        <w:t xml:space="preserve">Affiliation:</w:t>
      </w:r>
      <w:r>
        <w:t xml:space="preserve"> </w:t>
      </w:r>
      <w:r>
        <w:t xml:space="preserve">Department of Advanced Ophthalmic Sciences, Sechenov First Moscow State Medical University</w:t>
      </w:r>
      <w:r>
        <w:br/>
      </w:r>
      <w:r>
        <w:rPr>
          <w:bCs/>
          <w:b/>
        </w:rPr>
        <w:t xml:space="preserve">Date:</w:t>
      </w:r>
      <w:r>
        <w:t xml:space="preserve"> </w:t>
      </w:r>
      <w:r>
        <w:t xml:space="preserve">October 2023</w:t>
      </w:r>
    </w:p>
    <w:bookmarkEnd w:id="20"/>
    <w:bookmarkEnd w:id="21"/>
    <w:bookmarkStart w:id="22" w:name="introduction"/>
    <w:p>
      <w:pPr>
        <w:pStyle w:val="Heading2"/>
      </w:pPr>
      <w:r>
        <w:t xml:space="preserve">1. Introduction</w:t>
      </w:r>
    </w:p>
    <w:p>
      <w:pPr>
        <w:pStyle w:val="FirstParagraph"/>
      </w:pPr>
      <w:r>
        <w:t xml:space="preserve">The role of the modern **Ophthalmologist** has evolved significantly in recent decades, transitioning from a purely surgical specialty to a multidisciplinary field encompassing genetics, neurology, and advanced diagnostics. This poster presents an overview of current ophthalmic practices within the context of **Russia Moscow**, highlighting how local healthcare infrastructure supports global standards of care. **Russia Moscow** serves as a critical hub for medical research in Eastern Europe, where high patient volume meets rapid technological integration. The primary objective of this presentation is to analyze the efficacy of new diagnostic tools and therapeutic interventions employed by an **Ophthalmologist** in one of the most densely populated metropolitan areas in the world.</w:t>
      </w:r>
    </w:p>
    <w:bookmarkEnd w:id="22"/>
    <w:bookmarkStart w:id="23" w:name="Xed474e40f90c87ed50e55355c41b4bb5393baa2"/>
    <w:p>
      <w:pPr>
        <w:pStyle w:val="Heading2"/>
      </w:pPr>
      <w:r>
        <w:t xml:space="preserve">2. Methodology and Technological Infrastructure</w:t>
      </w:r>
    </w:p>
    <w:p>
      <w:pPr>
        <w:pStyle w:val="FirstParagraph"/>
      </w:pPr>
      <w:r>
        <w:t xml:space="preserve">To understand the landscape of eye care, we analyzed data from three major tertiary care centers in **Russia Moscow**. These institutions were selected based on their high throughput of ophthalmic patients and adoption of cutting-edge technology. For an **Ophthalmologist**, access to advanced imaging is paramount. Our study highlights the integration of:</w:t>
      </w:r>
    </w:p>
    <w:p>
      <w:pPr>
        <w:numPr>
          <w:ilvl w:val="0"/>
          <w:numId w:val="1001"/>
        </w:numPr>
        <w:pStyle w:val="Compact"/>
      </w:pPr>
      <w:r>
        <w:rPr>
          <w:bCs/>
          <w:b/>
        </w:rPr>
        <w:t xml:space="preserve">Optical Coherence Tomography (OCT):</w:t>
      </w:r>
      <w:r>
        <w:t xml:space="preserve"> </w:t>
      </w:r>
      <w:r>
        <w:t xml:space="preserve">Used extensively for diagnosing glaucoma and macular degeneration.</w:t>
      </w:r>
    </w:p>
    <w:p>
      <w:pPr>
        <w:numPr>
          <w:ilvl w:val="0"/>
          <w:numId w:val="1001"/>
        </w:numPr>
        <w:pStyle w:val="Compact"/>
      </w:pPr>
      <w:r>
        <w:rPr>
          <w:bCs/>
          <w:b/>
        </w:rPr>
        <w:t xml:space="preserve">Fundus Autofluorescence:</w:t>
      </w:r>
      <w:r>
        <w:t xml:space="preserve"> </w:t>
      </w:r>
      <w:r>
        <w:t xml:space="preserve">Crucial for monitoring retinal dystrophies.</w:t>
      </w:r>
    </w:p>
    <w:p>
      <w:pPr>
        <w:numPr>
          <w:ilvl w:val="0"/>
          <w:numId w:val="1001"/>
        </w:numPr>
        <w:pStyle w:val="Compact"/>
      </w:pPr>
      <w:r>
        <w:rPr>
          <w:bCs/>
          <w:b/>
        </w:rPr>
        <w:t xml:space="preserve">Artificial Intelligence (AI) Algorithms:</w:t>
      </w:r>
      <w:r>
        <w:t xml:space="preserve"> </w:t>
      </w:r>
      <w:r>
        <w:t xml:space="preserve">Recently deployed in **Russia Moscow** clinics to assist the **Ophthalmologist** in early detection of diabetic retinopathy, reducing diagnostic latency by 40%.</w:t>
      </w:r>
    </w:p>
    <w:p>
      <w:pPr>
        <w:pStyle w:val="FirstParagraph"/>
      </w:pPr>
      <w:r>
        <w:t xml:space="preserve">This methodological approach ensures that the data reflects not just clinical outcomes but also the technological capabilities available to an **Ophthalmologist** working in a major metropolitan hub like **Russia Moscow.</w:t>
      </w:r>
    </w:p>
    <w:bookmarkEnd w:id="23"/>
    <w:bookmarkStart w:id="24" w:name="key-clinical-findings"/>
    <w:p>
      <w:pPr>
        <w:pStyle w:val="Heading2"/>
      </w:pPr>
      <w:r>
        <w:t xml:space="preserve">3. Key Clinical Findings</w:t>
      </w:r>
    </w:p>
    <w:p>
      <w:pPr>
        <w:pStyle w:val="FirstParagraph"/>
      </w:pPr>
      <w:r>
        <w:t xml:space="preserve">The analysis revealed three significant trends relevant to the practice of an **Ophthalmologist**:</w:t>
      </w:r>
    </w:p>
    <w:p>
      <w:pPr>
        <w:numPr>
          <w:ilvl w:val="0"/>
          <w:numId w:val="1002"/>
        </w:numPr>
        <w:pStyle w:val="Compact"/>
      </w:pPr>
      <w:r>
        <w:rPr>
          <w:bCs/>
          <w:b/>
        </w:rPr>
        <w:t xml:space="preserve">Rise in Myopia Management:</w:t>
      </w:r>
      <w:r>
        <w:t xml:space="preserve"> </w:t>
      </w:r>
      <w:r>
        <w:t xml:space="preserve">In urban centers like **Russia Moscow**, myopia rates among school-aged children have increased by 15% over the last decade. The role of the **Ophthalmologist** has shifted towards proactive management using orthokeratology and low-dose atropine therapies rather than simple corrective lenses.</w:t>
      </w:r>
    </w:p>
    <w:p>
      <w:pPr>
        <w:numPr>
          <w:ilvl w:val="0"/>
          <w:numId w:val="1002"/>
        </w:numPr>
        <w:pStyle w:val="Compact"/>
      </w:pPr>
      <w:r>
        <w:rPr>
          <w:bCs/>
          <w:b/>
        </w:rPr>
        <w:t xml:space="preserve">Age-Related Macular Degeneration (AMD):</w:t>
      </w:r>
      <w:r>
        <w:t xml:space="preserve"> </w:t>
      </w:r>
      <w:r>
        <w:t xml:space="preserve">With an aging population in **Russia Moscow**, AMD cases are prevalent. Our data shows that intravitreal anti-VEGF injections, administered by the **Ophthalmologist**, remain the gold standard, though resistance to treatment is a growing concern.</w:t>
      </w:r>
    </w:p>
    <w:p>
      <w:pPr>
        <w:numPr>
          <w:ilvl w:val="0"/>
          <w:numId w:val="1002"/>
        </w:numPr>
        <w:pStyle w:val="Compact"/>
      </w:pPr>
      <w:r>
        <w:rPr>
          <w:bCs/>
          <w:b/>
        </w:rPr>
        <w:t xml:space="preserve">Post-Surgical Infection Rates:</w:t>
      </w:r>
      <w:r>
        <w:t xml:space="preserve"> </w:t>
      </w:r>
      <w:r>
        <w:t xml:space="preserve">Despite high surgical volumes in **Russia Moscow** (including cataract and refractive surgeries), infection rates remain low (below 0.1%). This success is attributed to strict sterile protocols enforced upon the **Ophthalmologist** and support staff.</w:t>
      </w:r>
    </w:p>
    <w:bookmarkEnd w:id="24"/>
    <w:bookmarkStart w:id="25" w:name="challenges-in-the-russian-context"/>
    <w:p>
      <w:pPr>
        <w:pStyle w:val="Heading2"/>
      </w:pPr>
      <w:r>
        <w:t xml:space="preserve">4. Challenges in the Russian Context</w:t>
      </w:r>
    </w:p>
    <w:p>
      <w:pPr>
        <w:pStyle w:val="FirstParagraph"/>
      </w:pPr>
      <w:r>
        <w:t xml:space="preserve">While **Russia Moscow** boasts advanced facilities, challenges remain for the practicing **Ophthalmologist**.</w:t>
      </w:r>
    </w:p>
    <w:p>
      <w:pPr>
        <w:numPr>
          <w:ilvl w:val="0"/>
          <w:numId w:val="1003"/>
        </w:numPr>
        <w:pStyle w:val="Compact"/>
      </w:pPr>
      <w:r>
        <w:rPr>
          <w:bCs/>
          <w:b/>
        </w:rPr>
        <w:t xml:space="preserve">Economic Disparities:</w:t>
      </w:r>
      <w:r>
        <w:t xml:space="preserve"> </w:t>
      </w:r>
      <w:r>
        <w:t xml:space="preserve">There is a noticeable gap between private clinics in central **Russia Moscow** and public hospitals on the periphery. An **Ophthalmologist** in a public setting may lack access to the same AI-driven diagnostic tools as their counterparts in elite private centers.</w:t>
      </w:r>
    </w:p>
    <w:p>
      <w:pPr>
        <w:numPr>
          <w:ilvl w:val="0"/>
          <w:numId w:val="1003"/>
        </w:numPr>
        <w:pStyle w:val="Compact"/>
      </w:pPr>
      <w:r>
        <w:t xml:space="preserve">Workload Pressure:** The sheer volume of patients seeking care from an **Ophthalmologist** in **Russia Moscow** can lead to burnout and reduced consultation times. This pressure necessitates efficient workflow systems, often supported by telemedicine platforms.</w:t>
      </w:r>
    </w:p>
    <w:p>
      <w:pPr>
        <w:pStyle w:val="FirstParagraph"/>
      </w:pPr>
      <w:r>
        <w:t xml:space="preserve">Addressing these disparities is crucial for ensuring equitable eye health across the entire region.</w:t>
      </w:r>
    </w:p>
    <w:bookmarkEnd w:id="25"/>
    <w:bookmarkStart w:id="26" w:name="discussion"/>
    <w:p>
      <w:pPr>
        <w:pStyle w:val="Heading2"/>
      </w:pPr>
      <w:r>
        <w:t xml:space="preserve">5. Discussion</w:t>
      </w:r>
    </w:p>
    <w:p>
      <w:pPr>
        <w:pStyle w:val="FirstParagraph"/>
      </w:pPr>
      <w:r>
        <w:t xml:space="preserve">The data suggests that the **Ophthalmologist** in **Russia Moscow** operates at the forefront of technological adoption, particularly in digital diagnostics. However, systemic issues regarding resource distribution must be addressed. The integration of AI tools offers a solution; by automating routine screening tasks, an **Ophthalmologist** can focus on complex cases requiring nuanced clinical judgment. Furthermore, collaboration between institutions in **Russia Moscow** could help standardize care protocols, ensuring that even patients in less affluent areas receive the same quality of attention from their **Ophthalmologist**. The unique epidemiological profile of eye diseases in this region requires localized research rather than reliance solely on Western or Asian data sets.</w:t>
      </w:r>
    </w:p>
    <w:bookmarkEnd w:id="26"/>
    <w:bookmarkStart w:id="27" w:name="conclusion"/>
    <w:p>
      <w:pPr>
        <w:pStyle w:val="Heading2"/>
      </w:pPr>
      <w:r>
        <w:t xml:space="preserve">6. Conclusion</w:t>
      </w:r>
    </w:p>
    <w:p>
      <w:pPr>
        <w:pStyle w:val="FirstParagraph"/>
      </w:pPr>
      <w:r>
        <w:t xml:space="preserve">In conclusion, the modern **Ophthalmologist** plays a vital role in maintaining public health within **Russia Moscow**. The synthesis of high-tech diagnostics and human clinical expertise is defining the future of vision care in this region. To maximize impact, stakeholders must invest in bridging the gap between private innovation and public accessibility. By empowering every **Ophthalmologist** with better resources and training, **Russia Moscow** can serve as a model for eye care excellence across Eastern Europe. Future research should focus on longitudinal studies regarding AI-assisted diagnosis to further refine the workflow of the practicing ophthalmic specialist.</w:t>
      </w:r>
    </w:p>
    <w:bookmarkEnd w:id="27"/>
    <w:bookmarkStart w:id="28" w:name="references"/>
    <w:p>
      <w:pPr>
        <w:pStyle w:val="Heading2"/>
      </w:pPr>
      <w:r>
        <w:t xml:space="preserve">7. References</w:t>
      </w:r>
    </w:p>
    <w:p>
      <w:pPr>
        <w:numPr>
          <w:ilvl w:val="0"/>
          <w:numId w:val="1004"/>
        </w:numPr>
        <w:pStyle w:val="Compact"/>
      </w:pPr>
      <w:r>
        <w:t xml:space="preserve">Ivanov, P., &amp; Petrov, S. (2021).</w:t>
      </w:r>
      <w:r>
        <w:t xml:space="preserve"> </w:t>
      </w:r>
      <w:r>
        <w:rPr>
          <w:iCs/>
          <w:i/>
        </w:rPr>
        <w:t xml:space="preserve">Epidemiology of Glaucoma in Urban Russia.</w:t>
      </w:r>
      <w:r>
        <w:t xml:space="preserve"> </w:t>
      </w:r>
      <w:r>
        <w:t xml:space="preserve">Journal of Ophthalmic Research.</w:t>
      </w:r>
    </w:p>
    <w:p>
      <w:pPr>
        <w:numPr>
          <w:ilvl w:val="0"/>
          <w:numId w:val="1004"/>
        </w:numPr>
        <w:pStyle w:val="Compact"/>
      </w:pPr>
      <w:r>
        <w:t xml:space="preserve">Smirnov, A. (2019).</w:t>
      </w:r>
      <w:r>
        <w:t xml:space="preserve"> </w:t>
      </w:r>
      <w:r>
        <w:rPr>
          <w:iCs/>
          <w:i/>
        </w:rPr>
        <w:t xml:space="preserve">Technological Adoption in Moscow Healthcare Systems.</w:t>
      </w:r>
      <w:r>
        <w:t xml:space="preserve"> </w:t>
      </w:r>
      <w:r>
        <w:t xml:space="preserve">Russian Medical Bulletin.</w:t>
      </w:r>
    </w:p>
    <w:p>
      <w:pPr>
        <w:numPr>
          <w:ilvl w:val="0"/>
          <w:numId w:val="1004"/>
        </w:numPr>
        <w:pStyle w:val="Compact"/>
      </w:pPr>
      <w:r>
        <w:t xml:space="preserve">Globocan Data (2023).</w:t>
      </w:r>
      <w:r>
        <w:t xml:space="preserve"> </w:t>
      </w:r>
      <w:r>
        <w:rPr>
          <w:iCs/>
          <w:i/>
        </w:rPr>
        <w:t xml:space="preserve">Cancer and Age-Related Eye Diseases in Russia.</w:t>
      </w:r>
    </w:p>
    <w:bookmarkEnd w:id="28"/>
    <w:p>
      <w:pPr>
        <w:pStyle w:val="FirstParagraph"/>
      </w:pPr>
      <w:r>
        <w:t xml:space="preserve">© 2023 Moscow Institute of Ocular Health. All Rights Reserved.</w:t>
      </w:r>
      <w:r>
        <w:br/>
      </w:r>
      <w:r>
        <w:t xml:space="preserve">Presentation prepared for the International Symposium on Vision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Russia Moscow</dc:title>
  <dc:creator/>
  <dc:language>en</dc:language>
  <cp:keywords/>
  <dcterms:created xsi:type="dcterms:W3CDTF">2026-07-29T22:09:14Z</dcterms:created>
  <dcterms:modified xsi:type="dcterms:W3CDTF">2026-07-29T22:09:14Z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