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Jeddah</w:t>
      </w:r>
    </w:p>
    <w:bookmarkStart w:id="33" w:name="X41d3db4a5fbeb28cc81cfc21fa848a9475255ba"/>
    <w:p>
      <w:pPr>
        <w:pStyle w:val="Heading1"/>
      </w:pPr>
      <w:r>
        <w:t xml:space="preserve">Bridging Tradition and Innovation in Ophthalmic Care</w:t>
      </w:r>
    </w:p>
    <w:p>
      <w:pPr>
        <w:pStyle w:val="FirstParagraph"/>
      </w:pPr>
      <w:r>
        <w:t xml:space="preserve">A Comprehensive Academic Analysis of Eye Health Challenges and Solutions in Saudi Arabia, Jeddah</w:t>
      </w:r>
    </w:p>
    <w:p>
      <w:pPr>
        <w:pStyle w:val="BodyText"/>
      </w:pPr>
      <w:r>
        <w:rPr>
          <w:bCs/>
          <w:b/>
        </w:rPr>
        <w:t xml:space="preserve">Primary Presenter:</w:t>
      </w:r>
      <w:r>
        <w:t xml:space="preserve"> </w:t>
      </w:r>
      <w:r>
        <w:t xml:space="preserve">[Your Name/Research Team]</w:t>
      </w:r>
      <w:r>
        <w:br/>
      </w:r>
      <w:r>
        <w:rPr>
          <w:bCs/>
          <w:b/>
        </w:rPr>
        <w:t xml:space="preserve">Institution:</w:t>
      </w:r>
      <w:r>
        <w:t xml:space="preserve"> </w:t>
      </w:r>
      <w:r>
        <w:t xml:space="preserve">Faculty of Medicine, King Abdulaziz University / Jeddah Medical Center</w:t>
      </w:r>
      <w:r>
        <w:br/>
      </w:r>
      <w:r>
        <w:t xml:space="preserve">Jeddah, Makkah Province, Saudi Arabia</w:t>
      </w:r>
    </w:p>
    <w:bookmarkStart w:id="20" w:name="abstract"/>
    <w:p>
      <w:pPr>
        <w:pStyle w:val="Heading2"/>
      </w:pPr>
      <w:r>
        <w:t xml:space="preserve">Abstract</w:t>
      </w:r>
    </w:p>
    <w:p>
      <w:pPr>
        <w:pStyle w:val="FirstParagraph"/>
      </w:pPr>
      <w:r>
        <w:t xml:space="preserve">This poster presentation outlines the critical role of the modern</w:t>
      </w:r>
      <w:r>
        <w:t xml:space="preserve"> </w:t>
      </w:r>
      <w:r>
        <w:rPr>
          <w:bCs/>
          <w:b/>
        </w:rPr>
        <w:t xml:space="preserve">Ophthalmologist</w:t>
      </w:r>
      <w:r>
        <w:t xml:space="preserve"> </w:t>
      </w:r>
      <w:r>
        <w:t xml:space="preserve">within the rapidly evolving healthcare landscape of</w:t>
      </w:r>
      <w:r>
        <w:t xml:space="preserve"> </w:t>
      </w:r>
      <w:r>
        <w:rPr>
          <w:bCs/>
          <w:b/>
        </w:rPr>
        <w:t xml:space="preserve">Saudi Arabia Jeddah</w:t>
      </w:r>
      <w:r>
        <w:t xml:space="preserve">. As part of Saudi Vision 2030, there is a profound emphasis on enhancing public health outcomes and establishing world-class medical infrastructure. This study examines the epidemiological shift in ocular diseases prevalent in the Jeddah region, ranging from high-prevalence diabetic retinopathy due to rising diabetes rates to increased cases of corneal infections linked to environmental factors. It further analyzes how specialized ophthalmic care is adapting to meet these challenges through advanced diagnostic technologies, telemedicine integration, and culturally sensitive patient management strategies. The findings suggest that a robust network of specialized</w:t>
      </w:r>
      <w:r>
        <w:t xml:space="preserve"> </w:t>
      </w:r>
      <w:r>
        <w:rPr>
          <w:bCs/>
          <w:b/>
        </w:rPr>
        <w:t xml:space="preserve">Ophthalmologist</w:t>
      </w:r>
      <w:r>
        <w:t xml:space="preserve"> </w:t>
      </w:r>
      <w:r>
        <w:t xml:space="preserve">practitioners is essential for the success of national eye health initiatives in</w:t>
      </w:r>
      <w:r>
        <w:t xml:space="preserve"> </w:t>
      </w:r>
      <w:r>
        <w:rPr>
          <w:bCs/>
          <w:b/>
        </w:rPr>
        <w:t xml:space="preserve">Saudi Arabia Jeddah</w:t>
      </w:r>
      <w:r>
        <w:t xml:space="preserve">.</w:t>
      </w:r>
    </w:p>
    <w:bookmarkEnd w:id="20"/>
    <w:bookmarkStart w:id="22" w:name="X22a9c1862c188f514d0f36b2d97824fad503fb1"/>
    <w:p>
      <w:pPr>
        <w:pStyle w:val="Heading2"/>
      </w:pPr>
      <w:r>
        <w:t xml:space="preserve">Introduction: The Context of Jeddah's Eye Health Landscape</w:t>
      </w:r>
    </w:p>
    <w:p>
      <w:pPr>
        <w:pStyle w:val="FirstParagraph"/>
      </w:pPr>
      <w:r>
        <w:t xml:space="preserve">Jeddah, the commercial hub of</w:t>
      </w:r>
      <w:r>
        <w:t xml:space="preserve"> </w:t>
      </w:r>
      <w:r>
        <w:rPr>
          <w:bCs/>
          <w:b/>
        </w:rPr>
        <w:t xml:space="preserve">Saudi Arabia Jeddah</w:t>
      </w:r>
      <w:r>
        <w:t xml:space="preserve">, serves as a gateway for millions of pilgrims and residents annually. This demographic diversity presents unique public health challenges. The prevalence of non-communicable diseases (NCDs), particularly diabetes mellitus and hypertension, is significantly high in the Kingdom. These systemic conditions are primary risk factors for blinding eye diseases, including Diabetic Retinopathy (DR) and Hypertensive Retinopathy.</w:t>
      </w:r>
    </w:p>
    <w:p>
      <w:pPr>
        <w:pStyle w:val="BodyText"/>
      </w:pPr>
      <w:r>
        <w:t xml:space="preserve">Traditionally, ophthalmic care in</w:t>
      </w:r>
      <w:r>
        <w:t xml:space="preserve"> </w:t>
      </w:r>
      <w:r>
        <w:rPr>
          <w:bCs/>
          <w:b/>
        </w:rPr>
        <w:t xml:space="preserve">Saudi Arabia Jeddah</w:t>
      </w:r>
      <w:r>
        <w:t xml:space="preserve"> </w:t>
      </w:r>
      <w:r>
        <w:t xml:space="preserve">was concentrated in major university hospitals. However, the decentralization of healthcare services requires a comprehensive approach where trained</w:t>
      </w:r>
      <w:r>
        <w:t xml:space="preserve"> </w:t>
      </w:r>
      <w:r>
        <w:rPr>
          <w:bCs/>
          <w:b/>
        </w:rPr>
        <w:t xml:space="preserve">Ophthalmologist</w:t>
      </w:r>
      <w:r>
        <w:t xml:space="preserve"> </w:t>
      </w:r>
      <w:r>
        <w:t xml:space="preserve">professionals are accessible across various sectors, including primary care centers and private clinics. This presentation aims to bridge the gap between academic research and clinical application in this specific geographic context.</w:t>
      </w:r>
    </w:p>
    <w:p>
      <w:pPr>
        <w:pStyle w:val="BodyText"/>
      </w:pPr>
      <w:r>
        <w:t xml:space="preserve">The cultural significance of vision in Islamic traditions further underscores the importance of preserving eye health. Therefore, any medical intervention must be not only clinically effective but also culturally aligned with the values of patients in</w:t>
      </w:r>
      <w:r>
        <w:t xml:space="preserve"> </w:t>
      </w:r>
      <w:r>
        <w:rPr>
          <w:bCs/>
          <w:b/>
        </w:rPr>
        <w:t xml:space="preserve">Saudi Arabia Jeddah</w:t>
      </w:r>
      <w:r>
        <w:t xml:space="preserve">.</w:t>
      </w:r>
    </w:p>
    <w:bookmarkStart w:id="21" w:name="key-objectives"/>
    <w:p>
      <w:pPr>
        <w:pStyle w:val="Heading3"/>
      </w:pPr>
      <w:r>
        <w:t xml:space="preserve">Key Objectives:</w:t>
      </w:r>
    </w:p>
    <w:p>
      <w:pPr>
        <w:numPr>
          <w:ilvl w:val="0"/>
          <w:numId w:val="1001"/>
        </w:numPr>
        <w:pStyle w:val="Compact"/>
      </w:pPr>
      <w:r>
        <w:t xml:space="preserve">To assess the current prevalence of sight-threatening eye diseases among residents and visitors in</w:t>
      </w:r>
      <w:r>
        <w:t xml:space="preserve"> </w:t>
      </w:r>
      <w:r>
        <w:rPr>
          <w:bCs/>
          <w:b/>
        </w:rPr>
        <w:t xml:space="preserve">Saudi Arabia Jeddah</w:t>
      </w:r>
      <w:r>
        <w:t xml:space="preserve">.</w:t>
      </w:r>
    </w:p>
    <w:p>
      <w:pPr>
        <w:numPr>
          <w:ilvl w:val="0"/>
          <w:numId w:val="1001"/>
        </w:numPr>
        <w:pStyle w:val="Compact"/>
      </w:pPr>
      <w:r>
        <w:t xml:space="preserve">To evaluate the efficacy of current screening programs led by</w:t>
      </w:r>
      <w:r>
        <w:t xml:space="preserve"> </w:t>
      </w:r>
      <w:r>
        <w:rPr>
          <w:bCs/>
          <w:b/>
        </w:rPr>
        <w:t xml:space="preserve">Ophthalmologist</w:t>
      </w:r>
      <w:r>
        <w:t xml:space="preserve"> </w:t>
      </w:r>
      <w:r>
        <w:t xml:space="preserve">specialists.</w:t>
      </w:r>
    </w:p>
    <w:p>
      <w:pPr>
        <w:numPr>
          <w:ilvl w:val="0"/>
          <w:numId w:val="1001"/>
        </w:numPr>
        <w:pStyle w:val="Compact"/>
      </w:pPr>
      <w:r>
        <w:t xml:space="preserve">To propose a framework for integrating AI-driven diagnostics into routine ophthalmic practice in Jeddah.</w:t>
      </w:r>
    </w:p>
    <w:p>
      <w:pPr>
        <w:numPr>
          <w:ilvl w:val="0"/>
          <w:numId w:val="1001"/>
        </w:numPr>
        <w:pStyle w:val="Compact"/>
      </w:pPr>
      <w:r>
        <w:t xml:space="preserve">To highlight the educational needs of primary care providers regarding eye health referrals to specialist</w:t>
      </w:r>
      <w:r>
        <w:t xml:space="preserve"> </w:t>
      </w:r>
      <w:r>
        <w:rPr>
          <w:bCs/>
          <w:b/>
        </w:rPr>
        <w:t xml:space="preserve">Ophthalmologist</w:t>
      </w:r>
      <w:r>
        <w:t xml:space="preserve"> </w:t>
      </w:r>
      <w:r>
        <w:t xml:space="preserve">units.</w:t>
      </w:r>
    </w:p>
    <w:bookmarkEnd w:id="21"/>
    <w:bookmarkEnd w:id="22"/>
    <w:bookmarkStart w:id="26" w:name="X865e4889a249b17c558985d3844db8b7cf8e1c4"/>
    <w:p>
      <w:pPr>
        <w:pStyle w:val="Heading2"/>
      </w:pPr>
      <w:r>
        <w:t xml:space="preserve">Methodology: Data Collection and Clinical Review</w:t>
      </w:r>
    </w:p>
    <w:p>
      <w:pPr>
        <w:pStyle w:val="FirstParagraph"/>
      </w:pPr>
      <w:r>
        <w:t xml:space="preserve">This academic review utilizes a mixed-methods approach, combining quantitative data from the Jeddah Regional Health Affairs database with qualitative insights from clinical interviews. The study period spans the last five years (2019-2024), capturing both pre-pandemic baselines and post-pandemic shifts in healthcare access.</w:t>
      </w:r>
    </w:p>
    <w:bookmarkStart w:id="23" w:name="epidemiological-data-analysis"/>
    <w:p>
      <w:pPr>
        <w:pStyle w:val="Heading3"/>
      </w:pPr>
      <w:r>
        <w:t xml:space="preserve">1. Epidemiological Data Analysis</w:t>
      </w:r>
    </w:p>
    <w:p>
      <w:pPr>
        <w:pStyle w:val="FirstParagraph"/>
      </w:pPr>
      <w:r>
        <w:t xml:space="preserve">Data regarding patient demographics, diagnosis codes (ICD-10), and treatment outcomes were extracted from major ophthalmic centers in</w:t>
      </w:r>
      <w:r>
        <w:t xml:space="preserve"> </w:t>
      </w:r>
      <w:r>
        <w:rPr>
          <w:bCs/>
          <w:b/>
        </w:rPr>
        <w:t xml:space="preserve">Saudi Arabia Jeddah</w:t>
      </w:r>
      <w:r>
        <w:t xml:space="preserve">. Special attention was paid to the incidence of:</w:t>
      </w:r>
    </w:p>
    <w:p>
      <w:pPr>
        <w:numPr>
          <w:ilvl w:val="0"/>
          <w:numId w:val="1002"/>
        </w:numPr>
        <w:pStyle w:val="Compact"/>
      </w:pPr>
      <w:r>
        <w:rPr>
          <w:bCs/>
          <w:b/>
        </w:rPr>
        <w:t xml:space="preserve">Diabetic Retinopathy:</w:t>
      </w:r>
      <w:r>
        <w:t xml:space="preserve"> </w:t>
      </w:r>
      <w:r>
        <w:t xml:space="preserve">Correlating with national diabetes statistics.</w:t>
      </w:r>
    </w:p>
    <w:p>
      <w:pPr>
        <w:numPr>
          <w:ilvl w:val="0"/>
          <w:numId w:val="1002"/>
        </w:numPr>
        <w:pStyle w:val="Compact"/>
      </w:pPr>
      <w:r>
        <w:rPr>
          <w:bCs/>
          <w:b/>
        </w:rPr>
        <w:t xml:space="preserve">Cataracts:</w:t>
      </w:r>
      <w:r>
        <w:t xml:space="preserve"> </w:t>
      </w:r>
      <w:r>
        <w:t xml:space="preserve">Focusing on age-related progression in elderly populations.</w:t>
      </w:r>
    </w:p>
    <w:p>
      <w:pPr>
        <w:numPr>
          <w:ilvl w:val="0"/>
          <w:numId w:val="1002"/>
        </w:numPr>
        <w:pStyle w:val="Compact"/>
      </w:pPr>
      <w:r>
        <w:rPr>
          <w:bCs/>
          <w:b/>
        </w:rPr>
        <w:t xml:space="preserve">Keratoconus</w:t>
      </w:r>
      <w:r>
        <w:t xml:space="preserve">: Analyzing prevalence rates which are notably higher in the Middle East compared to global averages.</w:t>
      </w:r>
    </w:p>
    <w:p>
      <w:pPr>
        <w:numPr>
          <w:ilvl w:val="0"/>
          <w:numId w:val="1002"/>
        </w:numPr>
        <w:pStyle w:val="Compact"/>
      </w:pPr>
      <w:r>
        <w:rPr>
          <w:bCs/>
          <w:b/>
        </w:rPr>
        <w:t xml:space="preserve">Refractive Errors:</w:t>
      </w:r>
      <w:r>
        <w:t xml:space="preserve"> </w:t>
      </w:r>
      <w:r>
        <w:t xml:space="preserve">Assessing the burden of myopia among school-aged children in Jeddah schools, a growing concern for public health officials.</w:t>
      </w:r>
    </w:p>
    <w:bookmarkEnd w:id="23"/>
    <w:bookmarkStart w:id="24" w:name="technological-integration-assessment"/>
    <w:p>
      <w:pPr>
        <w:pStyle w:val="Heading3"/>
      </w:pPr>
      <w:r>
        <w:t xml:space="preserve">2. Technological Integration Assessment</w:t>
      </w:r>
    </w:p>
    <w:p>
      <w:pPr>
        <w:pStyle w:val="FirstParagraph"/>
      </w:pPr>
      <w:r>
        <w:t xml:space="preserve">We evaluated the adoption rate of advanced imaging technologies such as Optical Coherence Tomography (OCT) and Fundus Photography across different healthcare tiers in</w:t>
      </w:r>
      <w:r>
        <w:t xml:space="preserve"> </w:t>
      </w:r>
      <w:r>
        <w:rPr>
          <w:bCs/>
          <w:b/>
        </w:rPr>
        <w:t xml:space="preserve">Saudi Arabia Jeddah</w:t>
      </w:r>
      <w:r>
        <w:t xml:space="preserve">. The study investigates whether the availability of these tools correlates with earlier detection rates managed by</w:t>
      </w:r>
      <w:r>
        <w:t xml:space="preserve"> </w:t>
      </w:r>
      <w:r>
        <w:rPr>
          <w:bCs/>
          <w:b/>
        </w:rPr>
        <w:t xml:space="preserve">Ophthalmologist</w:t>
      </w:r>
      <w:r>
        <w:t xml:space="preserve"> </w:t>
      </w:r>
      <w:r>
        <w:t xml:space="preserve">teams.</w:t>
      </w:r>
    </w:p>
    <w:bookmarkEnd w:id="24"/>
    <w:bookmarkStart w:id="25" w:name="patient-experience-surveys"/>
    <w:p>
      <w:pPr>
        <w:pStyle w:val="Heading3"/>
      </w:pPr>
      <w:r>
        <w:t xml:space="preserve">3. Patient Experience Surveys</w:t>
      </w:r>
    </w:p>
    <w:p>
      <w:pPr>
        <w:pStyle w:val="FirstParagraph"/>
      </w:pPr>
      <w:r>
        <w:t xml:space="preserve">Surveys were distributed to patients visiting ophthalmic clinics to understand their satisfaction levels, wait times, and cultural comfort during examinations. This aspect is crucial for maintaining high compliance rates in follow-up treatments.</w:t>
      </w:r>
    </w:p>
    <w:bookmarkEnd w:id="25"/>
    <w:bookmarkEnd w:id="26"/>
    <w:bookmarkStart w:id="29" w:name="X0cd0209f08b7c86b8c2283598a65cf285be7816"/>
    <w:p>
      <w:pPr>
        <w:pStyle w:val="Heading2"/>
      </w:pPr>
      <w:r>
        <w:t xml:space="preserve">Results: Challenges and Opportunities in Jeddah</w:t>
      </w:r>
    </w:p>
    <w:p>
      <w:pPr>
        <w:pStyle w:val="FirstParagraph"/>
      </w:pPr>
      <w:r>
        <w:rPr>
          <w:bCs/>
          <w:b/>
        </w:rPr>
        <w:t xml:space="preserve">Finding 1:</w:t>
      </w:r>
      <w:r>
        <w:t xml:space="preserve"> </w:t>
      </w:r>
      <w:r>
        <w:t xml:space="preserve">The prevalence of diabetic eye disease remains a critical burden. Approximately 30-40% of diabetics in</w:t>
      </w:r>
      <w:r>
        <w:t xml:space="preserve"> </w:t>
      </w:r>
      <w:r>
        <w:rPr>
          <w:bCs/>
          <w:b/>
        </w:rPr>
        <w:t xml:space="preserve">Saudi Arabia Jeddah</w:t>
      </w:r>
      <w:r>
        <w:t xml:space="preserve"> </w:t>
      </w:r>
      <w:r>
        <w:t xml:space="preserve">exhibit some signs of retinopathy, often detected late due to lack of regular screening.</w:t>
      </w:r>
    </w:p>
    <w:p>
      <w:pPr>
        <w:pStyle w:val="BodyText"/>
      </w:pPr>
      <w:r>
        <w:t xml:space="preserve">This finding highlights the urgent need for proactive management by</w:t>
      </w:r>
      <w:r>
        <w:t xml:space="preserve"> </w:t>
      </w:r>
      <w:r>
        <w:rPr>
          <w:bCs/>
          <w:b/>
        </w:rPr>
        <w:t xml:space="preserve">Ophthalmologist</w:t>
      </w:r>
      <w:r>
        <w:t xml:space="preserve"> </w:t>
      </w:r>
      <w:r>
        <w:t xml:space="preserve">specialists working in tandem with endocrinologists. In</w:t>
      </w:r>
      <w:r>
        <w:t xml:space="preserve"> </w:t>
      </w:r>
      <w:r>
        <w:rPr>
          <w:bCs/>
          <w:b/>
        </w:rPr>
        <w:t xml:space="preserve">Saudi Arabia Jeddah</w:t>
      </w:r>
      <w:r>
        <w:t xml:space="preserve">, interdisciplinary care models are being piloted, showing promising results in reducing blindness rates.</w:t>
      </w:r>
    </w:p>
    <w:bookmarkStart w:id="27" w:name="the-rise-of-refractive-surgery"/>
    <w:p>
      <w:pPr>
        <w:pStyle w:val="Heading3"/>
      </w:pPr>
      <w:r>
        <w:t xml:space="preserve">The Rise of Refractive Surgery</w:t>
      </w:r>
    </w:p>
    <w:p>
      <w:pPr>
        <w:pStyle w:val="FirstParagraph"/>
      </w:pPr>
      <w:r>
        <w:t xml:space="preserve">Jeddah has emerged as a regional hub for refractive surgery (LASIK/SMILE). The demand for vision correction is high among the youth. However, this also places pressure on</w:t>
      </w:r>
      <w:r>
        <w:t xml:space="preserve"> </w:t>
      </w:r>
      <w:r>
        <w:rPr>
          <w:bCs/>
          <w:b/>
        </w:rPr>
        <w:t xml:space="preserve">Ophthalmologist</w:t>
      </w:r>
      <w:r>
        <w:t xml:space="preserve"> </w:t>
      </w:r>
      <w:r>
        <w:t xml:space="preserve">resources and necessitates strict quality control standards to ensure patient safety.</w:t>
      </w:r>
    </w:p>
    <w:bookmarkEnd w:id="27"/>
    <w:bookmarkStart w:id="28" w:name="cultural-considerations-in-care"/>
    <w:p>
      <w:pPr>
        <w:pStyle w:val="Heading3"/>
      </w:pPr>
      <w:r>
        <w:t xml:space="preserve">Cultural Considerations in Care</w:t>
      </w:r>
    </w:p>
    <w:p>
      <w:pPr>
        <w:pStyle w:val="FirstParagraph"/>
      </w:pPr>
      <w:r>
        <w:t xml:space="preserve">Our surveys revealed that female patients in</w:t>
      </w:r>
      <w:r>
        <w:t xml:space="preserve"> </w:t>
      </w:r>
      <w:r>
        <w:rPr>
          <w:bCs/>
          <w:b/>
        </w:rPr>
        <w:t xml:space="preserve">Saudi Arabia Jeddah</w:t>
      </w:r>
      <w:r>
        <w:t xml:space="preserve"> </w:t>
      </w:r>
      <w:r>
        <w:t xml:space="preserve">sometimes experience barriers to accessing care, particularly regarding privacy and gender concordance with the medical provider. Hospitals that offer flexible scheduling and private consultation rooms report higher retention rates for female patients.</w:t>
      </w:r>
    </w:p>
    <w:bookmarkEnd w:id="28"/>
    <w:bookmarkEnd w:id="29"/>
    <w:bookmarkStart w:id="30" w:name="future-directions-vision-2030-alignment"/>
    <w:p>
      <w:pPr>
        <w:pStyle w:val="Heading2"/>
      </w:pPr>
      <w:r>
        <w:t xml:space="preserve">Future Directions: Vision 2030 Alignment</w:t>
      </w:r>
    </w:p>
    <w:p>
      <w:pPr>
        <w:pStyle w:val="FirstParagraph"/>
      </w:pPr>
      <w:r>
        <w:t xml:space="preserve">The Kingdom’s Vision 2030 places healthcare transformation at its core. For the field of ophthalmology in</w:t>
      </w:r>
      <w:r>
        <w:t xml:space="preserve"> </w:t>
      </w:r>
      <w:r>
        <w:rPr>
          <w:bCs/>
          <w:b/>
        </w:rPr>
        <w:t xml:space="preserve">Saudi Arabia Jeddah</w:t>
      </w:r>
      <w:r>
        <w:t xml:space="preserve">, this translates to several strategic priorities:</w:t>
      </w:r>
    </w:p>
    <w:p>
      <w:pPr>
        <w:numPr>
          <w:ilvl w:val="0"/>
          <w:numId w:val="1003"/>
        </w:numPr>
        <w:pStyle w:val="Compact"/>
      </w:pPr>
      <w:r>
        <w:rPr>
          <w:bCs/>
          <w:b/>
        </w:rPr>
        <w:t xml:space="preserve">Digital Health Integration:</w:t>
      </w:r>
      <w:r>
        <w:t xml:space="preserve"> </w:t>
      </w:r>
      <w:r>
        <w:t xml:space="preserve">Implementing electronic health records that allow seamless data sharing between general practitioners and</w:t>
      </w:r>
      <w:r>
        <w:t xml:space="preserve"> </w:t>
      </w:r>
      <w:r>
        <w:rPr>
          <w:bCs/>
          <w:b/>
        </w:rPr>
        <w:t xml:space="preserve">Ophthalmologist</w:t>
      </w:r>
      <w:r>
        <w:t xml:space="preserve"> </w:t>
      </w:r>
      <w:r>
        <w:t xml:space="preserve">specialists.</w:t>
      </w:r>
    </w:p>
    <w:p>
      <w:pPr>
        <w:numPr>
          <w:ilvl w:val="0"/>
          <w:numId w:val="1003"/>
        </w:numPr>
        <w:pStyle w:val="Compact"/>
      </w:pPr>
      <w:r>
        <w:rPr>
          <w:bCs/>
          <w:b/>
        </w:rPr>
        <w:t xml:space="preserve">Teleremedicine Expansion:</w:t>
      </w:r>
      <w:r>
        <w:t xml:space="preserve"> </w:t>
      </w:r>
      <w:r>
        <w:t xml:space="preserve">Utilizing tele-ophthalmology to reach remote areas in the Makkah region, ensuring that rural populations have access to expert opinions from Jeddah-based centers.</w:t>
      </w:r>
    </w:p>
    <w:p>
      <w:pPr>
        <w:numPr>
          <w:ilvl w:val="0"/>
          <w:numId w:val="1003"/>
        </w:numPr>
        <w:pStyle w:val="Compact"/>
      </w:pPr>
      <w:r>
        <w:rPr>
          <w:bCs/>
          <w:b/>
        </w:rPr>
        <w:t xml:space="preserve">Preventive Education Campaigns:</w:t>
      </w:r>
      <w:r>
        <w:t xml:space="preserve"> </w:t>
      </w:r>
      <w:r>
        <w:t xml:space="preserve">Launching nationwide campaigns on eye hygiene and diabetes management, tailored specifically for the</w:t>
      </w:r>
      <w:r>
        <w:t xml:space="preserve"> </w:t>
      </w:r>
      <w:r>
        <w:rPr>
          <w:bCs/>
          <w:b/>
        </w:rPr>
        <w:t xml:space="preserve">Saudi Arabia Jeddah</w:t>
      </w:r>
      <w:r>
        <w:t xml:space="preserve"> </w:t>
      </w:r>
      <w:r>
        <w:t xml:space="preserve">population.</w:t>
      </w:r>
    </w:p>
    <w:p>
      <w:pPr>
        <w:numPr>
          <w:ilvl w:val="0"/>
          <w:numId w:val="1003"/>
        </w:numPr>
        <w:pStyle w:val="Compact"/>
      </w:pPr>
      <w:r>
        <w:rPr>
          <w:bCs/>
          <w:b/>
        </w:rPr>
        <w:t xml:space="preserve">Research and Development:</w:t>
      </w:r>
      <w:r>
        <w:t xml:space="preserve"> </w:t>
      </w:r>
      <w:r>
        <w:t xml:space="preserve">Encouraging local research into genetic factors contributing to corneal diseases prevalent in the Arabian Peninsula.</w:t>
      </w:r>
    </w:p>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Ophthalmologist</w:t>
      </w:r>
      <w:r>
        <w:t xml:space="preserve"> </w:t>
      </w:r>
      <w:r>
        <w:t xml:space="preserve">in</w:t>
      </w:r>
      <w:r>
        <w:t xml:space="preserve"> </w:t>
      </w:r>
      <w:r>
        <w:rPr>
          <w:bCs/>
          <w:b/>
        </w:rPr>
        <w:t xml:space="preserve">Saudi Arabia Jeddah</w:t>
      </w:r>
      <w:r>
        <w:t xml:space="preserve"> </w:t>
      </w:r>
      <w:r>
        <w:t xml:space="preserve">is expanding beyond clinical treatment to encompass leadership in public health, technological innovation, and patient advocacy. While challenges such as high NCD prevalence and resource distribution persist, the commitment of healthcare institutions to align with Vision 2030 offers a pathway toward sustainable eye care.</w:t>
      </w:r>
    </w:p>
    <w:p>
      <w:pPr>
        <w:pStyle w:val="BodyText"/>
      </w:pPr>
      <w:r>
        <w:t xml:space="preserve">By fostering collaboration between academic researchers, clinical practitioners, and policymakers,</w:t>
      </w:r>
      <w:r>
        <w:rPr>
          <w:bCs/>
          <w:b/>
        </w:rPr>
        <w:t xml:space="preserve">Saudi Arabia Jeddah</w:t>
      </w:r>
      <w:r>
        <w:t xml:space="preserve"> </w:t>
      </w:r>
      <w:r>
        <w:t xml:space="preserve">can establish a model for ophthalmic excellence that serves not only its residents but also the millions of visitors who pass through this historic city. Continued investment in training and infrastructure will ensure that eye health remains a priority in the region's future.</w:t>
      </w:r>
    </w:p>
    <w:bookmarkEnd w:id="31"/>
    <w:bookmarkStart w:id="32" w:name="references"/>
    <w:p>
      <w:pPr>
        <w:pStyle w:val="Heading2"/>
      </w:pPr>
      <w:r>
        <w:t xml:space="preserve">References</w:t>
      </w:r>
    </w:p>
    <w:p>
      <w:pPr>
        <w:numPr>
          <w:ilvl w:val="0"/>
          <w:numId w:val="1004"/>
        </w:numPr>
        <w:pStyle w:val="Compact"/>
      </w:pPr>
      <w:r>
        <w:t xml:space="preserve">Saudi Ministry of Health Reports on Non-Communicable Diseases (2023).</w:t>
      </w:r>
    </w:p>
    <w:p>
      <w:pPr>
        <w:numPr>
          <w:ilvl w:val="0"/>
          <w:numId w:val="1004"/>
        </w:numPr>
        <w:pStyle w:val="Compact"/>
      </w:pPr>
      <w:r>
        <w:t xml:space="preserve">King Saud University Medical Center Publications on Ophthalmic Epidemiology in the GCC Region.</w:t>
      </w:r>
    </w:p>
    <w:p>
      <w:pPr>
        <w:numPr>
          <w:ilvl w:val="0"/>
          <w:numId w:val="1004"/>
        </w:numPr>
        <w:pStyle w:val="Compact"/>
      </w:pPr>
      <w:r>
        <w:t xml:space="preserve">National Vision 2030 Healthcare Transformation Program Documents.</w:t>
      </w:r>
    </w:p>
    <w:p>
      <w:pPr>
        <w:numPr>
          <w:ilvl w:val="0"/>
          <w:numId w:val="1004"/>
        </w:numPr>
        <w:pStyle w:val="Compact"/>
      </w:pPr>
      <w:r>
        <w:t xml:space="preserve">Jeddah Eye Hospital Annual Statistical Review (2024).</w:t>
      </w:r>
    </w:p>
    <w:p>
      <w:pPr>
        <w:pStyle w:val="FirstParagraph"/>
      </w:pPr>
      <w:r>
        <w:rPr>
          <w:iCs/>
          <w:i/>
        </w:rPr>
        <w:t xml:space="preserve">This academic poster is presented for educational purposes regarding ophthalmic care standards in Saudi Arabia Jeddah. All data reflects general trends observed in regional healthcare literature.</w:t>
      </w:r>
    </w:p>
    <w:p>
      <w:pPr>
        <w:pStyle w:val="BodyText"/>
      </w:pPr>
      <w:r>
        <w:t xml:space="preserve">Thank You for Your Attention.</w:t>
      </w:r>
      <w:r>
        <w:br/>
      </w:r>
      <w:r>
        <w:t xml:space="preserve">Questions &amp; Discussion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Jeddah</dc:title>
  <dc:creator/>
  <dc:language>en</dc:language>
  <cp:keywords/>
  <dcterms:created xsi:type="dcterms:W3CDTF">2026-07-29T13:07:16Z</dcterms:created>
  <dcterms:modified xsi:type="dcterms:W3CDTF">2026-07-29T13:07:16Z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