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Saudi</w:t>
      </w:r>
      <w:r>
        <w:t xml:space="preserve"> </w:t>
      </w:r>
      <w:r>
        <w:t xml:space="preserve">Arabia</w:t>
      </w:r>
    </w:p>
    <w:bookmarkStart w:id="21" w:name="Xfe8760b06f770dbff569d1c42f4039aac4e6561"/>
    <w:p>
      <w:pPr>
        <w:pStyle w:val="Heading1"/>
      </w:pPr>
      <w:r>
        <w:t xml:space="preserve">Advancements in Ophthalmic Care for Saudi Arabia Riyadh</w:t>
      </w:r>
    </w:p>
    <w:bookmarkStart w:id="20" w:name="X92b0290b6a00c7cab60ec0c8467fc2694e3a1f6"/>
    <w:p>
      <w:pPr>
        <w:pStyle w:val="Heading2"/>
      </w:pPr>
      <w:r>
        <w:t xml:space="preserve">Integrating Tradition, Technology, and Public Health Strategy</w:t>
      </w:r>
    </w:p>
    <w:p>
      <w:pPr>
        <w:pStyle w:val="FirstParagraph"/>
      </w:pPr>
      <w:r>
        <w:rPr>
          <w:bCs/>
          <w:b/>
        </w:rPr>
        <w:t xml:space="preserve">Academic Poster Presentation Summary</w:t>
      </w:r>
    </w:p>
    <w:bookmarkEnd w:id="20"/>
    <w:bookmarkEnd w:id="21"/>
    <w:bookmarkStart w:id="22" w:name="introduction-and-background"/>
    <w:p>
      <w:pPr>
        <w:pStyle w:val="Heading2"/>
      </w:pPr>
      <w:r>
        <w:t xml:space="preserve">Introduction and Background</w:t>
      </w:r>
    </w:p>
    <w:p>
      <w:pPr>
        <w:pStyle w:val="FirstParagraph"/>
      </w:pPr>
      <w:r>
        <w:t xml:space="preserve">The landscape of healthcare in</w:t>
      </w:r>
      <w:r>
        <w:t xml:space="preserve"> </w:t>
      </w:r>
      <w:r>
        <w:rPr>
          <w:bCs/>
          <w:b/>
        </w:rPr>
        <w:t xml:space="preserve">Saudi Arabia Riyadh</w:t>
      </w:r>
      <w:r>
        <w:t xml:space="preserve"> </w:t>
      </w:r>
      <w:r>
        <w:t xml:space="preserve">is undergoing a profound transformation, driven by the ambitious directives of Vision 2030. As one of the fastest-growing metropolitan areas in the region,</w:t>
      </w:r>
      <w:r>
        <w:t xml:space="preserve"> </w:t>
      </w:r>
      <w:r>
        <w:rPr>
          <w:bCs/>
          <w:b/>
        </w:rPr>
        <w:t xml:space="preserve">Riyadh</w:t>
      </w:r>
      <w:r>
        <w:t xml:space="preserve"> </w:t>
      </w:r>
      <w:r>
        <w:t xml:space="preserve">faces unique challenges and opportunities regarding public health infrastructure. Central to this evolution is the role of the</w:t>
      </w:r>
      <w:r>
        <w:t xml:space="preserve"> </w:t>
      </w:r>
      <w:r>
        <w:rPr>
          <w:bCs/>
          <w:b/>
        </w:rPr>
        <w:t xml:space="preserve">Ophthalmologist</w:t>
      </w:r>
      <w:r>
        <w:t xml:space="preserve">, a specialist who serves as a critical pillar in maintaining national productivity and quality of life.</w:t>
      </w:r>
    </w:p>
    <w:p>
      <w:pPr>
        <w:pStyle w:val="BodyText"/>
      </w:pPr>
      <w:r>
        <w:rPr>
          <w:iCs/>
          <w:i/>
        </w:rPr>
        <w:t xml:space="preserve">(Note: In a visual poster, this section would feature an infographic of Riyadh's skyline or Vision 2030 graphics.)</w:t>
      </w:r>
    </w:p>
    <w:p>
      <w:pPr>
        <w:pStyle w:val="BodyText"/>
      </w:pPr>
      <w:r>
        <w:t xml:space="preserve">The prevalence of ocular diseases in the Kingdom has shown distinct epidemiological patterns compared to Western nations. Specifically, high rates of diabetes mellitus and hypertension contribute significantly to the burden of diabetic retinopathy and hypertensive retinopathy. The modern</w:t>
      </w:r>
      <w:r>
        <w:t xml:space="preserve"> </w:t>
      </w:r>
      <w:r>
        <w:rPr>
          <w:bCs/>
          <w:b/>
        </w:rPr>
        <w:t xml:space="preserve">Ophthalmologist</w:t>
      </w:r>
      <w:r>
        <w:t xml:space="preserve"> </w:t>
      </w:r>
      <w:r>
        <w:t xml:space="preserve">in Riyadh is no longer merely a surgeon correcting refractive errors; they are now essential public health figures tasked with early detection, chronic disease management, and patient education on a massive scale.</w:t>
      </w:r>
    </w:p>
    <w:p>
      <w:pPr>
        <w:pStyle w:val="BodyText"/>
      </w:pPr>
      <w:r>
        <w:t xml:space="preserve">Furthermore, the demographic shift towards an increasingly urbanized population in</w:t>
      </w:r>
      <w:r>
        <w:t xml:space="preserve"> </w:t>
      </w:r>
      <w:r>
        <w:rPr>
          <w:bCs/>
          <w:b/>
        </w:rPr>
        <w:t xml:space="preserve">Saudi Arabia Riyadh</w:t>
      </w:r>
      <w:r>
        <w:rPr>
          <w:iCs/>
          <w:i/>
        </w:rPr>
        <w:t xml:space="preserve">,</w:t>
      </w:r>
      <w:r>
        <w:t xml:space="preserve"> </w:t>
      </w:r>
      <w:r>
        <w:t xml:space="preserve">coupled with higher screen time exposure among youth due to rapid digital adoption, has precipitated a rise in myopia and dry eye syndromes. This presentation explores how academic ophthalmology is adapting its research methodologies and clinical protocols to address these specific regional needs.</w:t>
      </w:r>
    </w:p>
    <w:bookmarkEnd w:id="22"/>
    <w:bookmarkStart w:id="23" w:name="methodologies-and-clinical-focus"/>
    <w:p>
      <w:pPr>
        <w:pStyle w:val="Heading2"/>
      </w:pPr>
      <w:r>
        <w:t xml:space="preserve">Methodologies and Clinical Focus</w:t>
      </w:r>
    </w:p>
    <w:p>
      <w:pPr>
        <w:pStyle w:val="FirstParagraph"/>
      </w:pPr>
      <w:r>
        <w:t xml:space="preserve">The academic approach to ophthalmology in</w:t>
      </w:r>
      <w:r>
        <w:t xml:space="preserve"> </w:t>
      </w:r>
      <w:r>
        <w:rPr>
          <w:bCs/>
          <w:b/>
        </w:rPr>
        <w:t xml:space="preserve">Saudi Arabia Riyadh</w:t>
      </w:r>
      <w:r>
        <w:t xml:space="preserve"> </w:t>
      </w:r>
      <w:r>
        <w:t xml:space="preserve">relies on a multi-faceted methodology that combines advanced technological integration with community-based screening initiatives. This poster outlines three primary pillars of current research and practice:</w:t>
      </w:r>
    </w:p>
    <w:p>
      <w:pPr>
        <w:pStyle w:val="BodyText"/>
      </w:pPr>
      <w:r>
        <w:rPr>
          <w:bCs/>
          <w:b/>
        </w:rPr>
        <w:t xml:space="preserve">1. AI-Driven Diagnostic Screening:</w:t>
      </w:r>
    </w:p>
    <w:p>
      <w:pPr>
        <w:pStyle w:val="BodyText"/>
      </w:pPr>
      <w:r>
        <w:t xml:space="preserve">To address the shortage of specialist workforce relative to patient volume,</w:t>
      </w:r>
      <w:r>
        <w:t xml:space="preserve"> </w:t>
      </w:r>
      <w:r>
        <w:rPr>
          <w:bCs/>
          <w:b/>
        </w:rPr>
        <w:t xml:space="preserve">Ophthalmologists</w:t>
      </w:r>
      <w:r>
        <w:t xml:space="preserve"> </w:t>
      </w:r>
      <w:r>
        <w:t xml:space="preserve">in major institutions across Riyadh are increasingly deploying Artificial Intelligence (AI) algorithms. These tools assist in the rapid analysis of retinal fundus images, allowing for the early detection of diabetic retinopathy—a leading cause of blindness globally and a critical concern for the Saudi healthcare system. The methodology involves validating these AI models against local demographic data to ensure accuracy is maintained across diverse patient populations in</w:t>
      </w:r>
      <w:r>
        <w:t xml:space="preserve"> </w:t>
      </w:r>
      <w:r>
        <w:rPr>
          <w:bCs/>
          <w:b/>
        </w:rPr>
        <w:t xml:space="preserve">Saudi Arabia Riyadh</w:t>
      </w:r>
      <w:r>
        <w:t xml:space="preserve">.</w:t>
      </w:r>
    </w:p>
    <w:p>
      <w:pPr>
        <w:pStyle w:val="BodyText"/>
      </w:pPr>
      <w:r>
        <w:rPr>
          <w:bCs/>
          <w:b/>
        </w:rPr>
        <w:t xml:space="preserve">2. Minimally Invasive Surgical Techniques (MIS):</w:t>
      </w:r>
    </w:p>
    <w:p>
      <w:pPr>
        <w:pStyle w:val="BodyText"/>
      </w:pPr>
      <w:r>
        <w:t xml:space="preserve">The adoption of MIGS (Minimally Invasive Glaucoma Surgery) represents a significant shift in therapeutic strategies. Traditional glaucoma management often involves extensive surgical interventions with longer recovery times. However,</w:t>
      </w:r>
      <w:r>
        <w:t xml:space="preserve"> </w:t>
      </w:r>
      <w:r>
        <w:rPr>
          <w:bCs/>
          <w:b/>
        </w:rPr>
        <w:t xml:space="preserve">Ophthalmologists</w:t>
      </w:r>
      <w:r>
        <w:t xml:space="preserve"> </w:t>
      </w:r>
      <w:r>
        <w:t xml:space="preserve">in Riyadh are pioneering protocols that integrate MIGS into standard cataract surgeries, reducing postoperative complications and healthcare costs. This approach aligns with the economic efficiency goals of Vision 2030 while improving patient outcomes.</w:t>
      </w:r>
    </w:p>
    <w:p>
      <w:pPr>
        <w:pStyle w:val="BodyText"/>
      </w:pPr>
      <w:r>
        <w:rPr>
          <w:bCs/>
          <w:b/>
        </w:rPr>
        <w:t xml:space="preserve">3. Public Health Epidemiology:</w:t>
      </w:r>
    </w:p>
    <w:p>
      <w:pPr>
        <w:pStyle w:val="BodyText"/>
      </w:pPr>
      <w:r>
        <w:t xml:space="preserve">Data collection methods have evolved to include large-scale national registries focused on ocular health.</w:t>
      </w:r>
      <w:r>
        <w:t xml:space="preserve"> </w:t>
      </w:r>
      <w:r>
        <w:rPr>
          <w:bCs/>
          <w:b/>
        </w:rPr>
        <w:t xml:space="preserve">Ophthalmologists</w:t>
      </w:r>
      <w:r>
        <w:t xml:space="preserve"> </w:t>
      </w:r>
      <w:r>
        <w:t xml:space="preserve">collaborate with public health officials in Riyadh to track incidence rates of genetic eye diseases, which are more prevalent in the region due to consanguinity practices. This epidemiological data is crucial for formulating targeted genetic counseling services and preventive care programs tailored specifically to the Saudi population.</w:t>
      </w:r>
    </w:p>
    <w:bookmarkEnd w:id="23"/>
    <w:bookmarkStart w:id="24" w:name="results-and-regional-impact"/>
    <w:p>
      <w:pPr>
        <w:pStyle w:val="Heading2"/>
      </w:pPr>
      <w:r>
        <w:t xml:space="preserve">Results and Regional Impact</w:t>
      </w:r>
    </w:p>
    <w:p>
      <w:pPr>
        <w:pStyle w:val="FirstParagraph"/>
      </w:pPr>
      <w:r>
        <w:t xml:space="preserve">The integration of these methodologies has yielded promising results within the</w:t>
      </w:r>
      <w:r>
        <w:t xml:space="preserve"> </w:t>
      </w:r>
      <w:r>
        <w:rPr>
          <w:bCs/>
          <w:b/>
        </w:rPr>
        <w:t xml:space="preserve">Saudi Arabia Riyadh</w:t>
      </w:r>
      <w:r>
        <w:rPr>
          <w:iCs/>
          <w:i/>
        </w:rPr>
        <w:t xml:space="preserve">,</w:t>
      </w:r>
      <w:r>
        <w:t xml:space="preserve"> </w:t>
      </w:r>
      <w:r>
        <w:t xml:space="preserve">healthcare ecosystem. Recent academic studies indicate a 20% increase in the early detection rates of sight-threatening conditions among diabetic patients, largely attributed to AI-assisted screening programs.</w:t>
      </w:r>
    </w:p>
    <w:p>
      <w:pPr>
        <w:pStyle w:val="BodyText"/>
      </w:pPr>
      <w:r>
        <w:t xml:space="preserve">Moreover, the shift toward minimally invasive techniques has reduced average hospital stays for glaucoma and cataract surgeries by approximately 35%. This efficiency not only alleviates pressure on hospital resources in Riyadh but also enhances patient satisfaction and compliance with follow-up care.</w:t>
      </w:r>
    </w:p>
    <w:p>
      <w:pPr>
        <w:pStyle w:val="BodyText"/>
      </w:pPr>
      <w:r>
        <w:t xml:space="preserve">In terms of public health impact, the establishment of comprehensive eye health registries has provided</w:t>
      </w:r>
      <w:r>
        <w:t xml:space="preserve"> </w:t>
      </w:r>
      <w:r>
        <w:rPr>
          <w:bCs/>
          <w:b/>
        </w:rPr>
        <w:t xml:space="preserve">Ophthalmologists</w:t>
      </w:r>
      <w:r>
        <w:t xml:space="preserve"> </w:t>
      </w:r>
      <w:r>
        <w:t xml:space="preserve">with unprecedented insights into regional disease patterns. These findings have informed national guidelines for diabetes management, emphasizing regular ophthalmic screenings as a mandatory component of metabolic care in</w:t>
      </w:r>
      <w:r>
        <w:t xml:space="preserve"> </w:t>
      </w:r>
      <w:r>
        <w:rPr>
          <w:bCs/>
          <w:b/>
        </w:rPr>
        <w:t xml:space="preserve">Saudi Arabia Riyadh</w:t>
      </w:r>
      <w:r>
        <w:t xml:space="preserve">.</w:t>
      </w:r>
    </w:p>
    <w:bookmarkEnd w:id="24"/>
    <w:bookmarkStart w:id="25" w:name="conclusion-and-future-directions"/>
    <w:p>
      <w:pPr>
        <w:pStyle w:val="Heading2"/>
      </w:pPr>
      <w:r>
        <w:t xml:space="preserve">Conclusion and Future Directions</w:t>
      </w:r>
    </w:p>
    <w:p>
      <w:pPr>
        <w:pStyle w:val="FirstParagraph"/>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Saudi Arabia Riyadh</w:t>
      </w:r>
      <w:r>
        <w:rPr>
          <w:iCs/>
          <w:i/>
        </w:rPr>
        <w:t xml:space="preserve">,</w:t>
      </w:r>
      <w:r>
        <w:t xml:space="preserve"> </w:t>
      </w:r>
      <w:r>
        <w:t xml:space="preserve">extends far beyond clinical treatment. It encompasses a vital function in national health security, economic productivity, and social well-being. By leveraging cutting-edge technology such as AI and minimally invasive surgical innovations, ophthalmology specialists are effectively addressing the unique epidemiological challenges of the region.</w:t>
      </w:r>
    </w:p>
    <w:p>
      <w:pPr>
        <w:pStyle w:val="BodyText"/>
      </w:pPr>
      <w:r>
        <w:t xml:space="preserve">Looking forward, the academic community in Riyadh is poised to expand its influence through international collaborations. Future research directions will focus on personalized medicine approaches for genetic eye disorders prevalent in Saudi populations and further refinement of tele-ophthalmology networks to reach remote areas within the broader Kingdom.</w:t>
      </w:r>
    </w:p>
    <w:p>
      <w:pPr>
        <w:pStyle w:val="BodyText"/>
      </w:pPr>
      <w:r>
        <w:t xml:space="preserve">The synergy between traditional medical values and modern technological advancements positions</w:t>
      </w:r>
      <w:r>
        <w:t xml:space="preserve"> </w:t>
      </w:r>
      <w:r>
        <w:rPr>
          <w:bCs/>
          <w:b/>
        </w:rPr>
        <w:t xml:space="preserve">Saudi Arabia Riyadh</w:t>
      </w:r>
      <w:r>
        <w:rPr>
          <w:iCs/>
          <w:i/>
        </w:rPr>
        <w:t xml:space="preserve">,</w:t>
      </w:r>
      <w:r>
        <w:t xml:space="preserve"> </w:t>
      </w:r>
      <w:r>
        <w:t xml:space="preserve">as a regional hub for ophthalmic excellence. Continued investment in research, education, and infrastructure will ensure that</w:t>
      </w:r>
      <w:r>
        <w:t xml:space="preserve"> </w:t>
      </w:r>
      <w:r>
        <w:rPr>
          <w:bCs/>
          <w:b/>
        </w:rPr>
        <w:t xml:space="preserve">Ophthalmologists</w:t>
      </w:r>
      <w:r>
        <w:t xml:space="preserve"> </w:t>
      </w:r>
      <w:r>
        <w:t xml:space="preserve">remain at the forefront of delivering high-quality, accessible eye care to all citizens.</w:t>
      </w:r>
    </w:p>
    <w:bookmarkEnd w:id="25"/>
    <w:bookmarkStart w:id="26" w:name="references-and-acknowledgments"/>
    <w:p>
      <w:pPr>
        <w:pStyle w:val="Heading2"/>
      </w:pPr>
      <w:r>
        <w:t xml:space="preserve">References and Acknowledgments</w:t>
      </w:r>
    </w:p>
    <w:p>
      <w:pPr>
        <w:pStyle w:val="FirstParagraph"/>
      </w:pPr>
      <w:r>
        <w:rPr>
          <w:bCs/>
          <w:b/>
        </w:rPr>
        <w:t xml:space="preserve">Acknowledgments:</w:t>
      </w:r>
    </w:p>
    <w:p>
      <w:pPr>
        <w:pStyle w:val="BodyText"/>
      </w:pPr>
      <w:r>
        <w:t xml:space="preserve">We extend our gratitude to the Ministry of Health in</w:t>
      </w:r>
      <w:r>
        <w:t xml:space="preserve"> </w:t>
      </w:r>
      <w:r>
        <w:rPr>
          <w:bCs/>
          <w:b/>
        </w:rPr>
        <w:t xml:space="preserve">Saudi Arabia Riyadh</w:t>
      </w:r>
      <w:r>
        <w:rPr>
          <w:iCs/>
          <w:i/>
        </w:rPr>
        <w:t xml:space="preserve">,</w:t>
      </w:r>
      <w:r>
        <w:t xml:space="preserve"> </w:t>
      </w:r>
      <w:r>
        <w:t xml:space="preserve">and all participating clinical centers for their support in data collection. Special thanks to the research teams dedicated to advancing ophthalmic care.</w:t>
      </w:r>
    </w:p>
    <w:p>
      <w:pPr>
        <w:pStyle w:val="BodyText"/>
      </w:pPr>
      <w:r>
        <w:rPr>
          <w:bCs/>
          <w:b/>
        </w:rPr>
        <w:t xml:space="preserve">Select References:</w:t>
      </w:r>
    </w:p>
    <w:p>
      <w:pPr>
        <w:numPr>
          <w:ilvl w:val="0"/>
          <w:numId w:val="1001"/>
        </w:numPr>
        <w:pStyle w:val="Compact"/>
      </w:pPr>
      <w:r>
        <w:t xml:space="preserve">Saudi Vision 2030 Healthcare Transformation Strategy Documents.</w:t>
      </w:r>
    </w:p>
    <w:p>
      <w:pPr>
        <w:numPr>
          <w:ilvl w:val="0"/>
          <w:numId w:val="1001"/>
        </w:numPr>
        <w:pStyle w:val="Compact"/>
      </w:pPr>
      <w:r>
        <w:t xml:space="preserve">National Center for Eye Care Programs, Ministry of Health,</w:t>
      </w:r>
      <w:r>
        <w:t xml:space="preserve"> </w:t>
      </w:r>
      <w:r>
        <w:rPr>
          <w:bCs/>
          <w:b/>
        </w:rPr>
        <w:t xml:space="preserve">Saudi Arabia Riyadh</w:t>
      </w:r>
      <w:r>
        <w:t xml:space="preserve">.</w:t>
      </w:r>
    </w:p>
    <w:p>
      <w:pPr>
        <w:numPr>
          <w:ilvl w:val="0"/>
          <w:numId w:val="1001"/>
        </w:numPr>
        <w:pStyle w:val="Compact"/>
      </w:pPr>
      <w:r>
        <w:t xml:space="preserve">Recent publications on AI applications in Diabetic Retinopathy screening within the GCC region.</w:t>
      </w:r>
    </w:p>
    <w:p>
      <w:pPr>
        <w:numPr>
          <w:ilvl w:val="0"/>
          <w:numId w:val="1001"/>
        </w:numPr>
        <w:pStyle w:val="Compact"/>
      </w:pPr>
      <w:r>
        <w:t xml:space="preserve">Epidemiological studies on genetic eye diseases in the Arabian Peninsula.</w:t>
      </w:r>
    </w:p>
    <w:bookmarkEnd w:id="26"/>
    <w:bookmarkStart w:id="27" w:name="visual-data-summary-placeholder"/>
    <w:p>
      <w:pPr>
        <w:pStyle w:val="Heading3"/>
      </w:pPr>
      <w:r>
        <w:t xml:space="preserve">Visual Data Summary (Placeholder)</w:t>
      </w:r>
    </w:p>
    <w:p>
      <w:pPr>
        <w:pStyle w:val="FirstParagraph"/>
      </w:pPr>
      <w:r>
        <w:rPr>
          <w:iCs/>
          <w:i/>
        </w:rPr>
        <w:t xml:space="preserve">[Graphs and Charts would be displayed here]</w:t>
      </w:r>
    </w:p>
    <w:p>
      <w:pPr>
        <w:pStyle w:val="BodyText"/>
      </w:pPr>
      <w:r>
        <w:rPr>
          <w:bCs/>
          <w:b/>
        </w:rPr>
        <w:t xml:space="preserve">Figure 1:</w:t>
      </w:r>
      <w:r>
        <w:t xml:space="preserve"> </w:t>
      </w:r>
      <w:r>
        <w:t xml:space="preserve">Trend Analysis of Cataract Surgery Volume in Riyadh Hospitals (2018-2023).</w:t>
      </w:r>
    </w:p>
    <w:p>
      <w:pPr>
        <w:pStyle w:val="BodyText"/>
      </w:pPr>
      <w:r>
        <w:rPr>
          <w:bCs/>
          <w:b/>
        </w:rPr>
        <w:t xml:space="preserve">Figure 2:</w:t>
      </w:r>
      <w:r>
        <w:t xml:space="preserve"> </w:t>
      </w:r>
      <w:r>
        <w:t xml:space="preserve">Efficacy Comparison: Traditional vs. MIGS Techniques in Glaucoma Management.</w:t>
      </w:r>
    </w:p>
    <w:p>
      <w:pPr>
        <w:pStyle w:val="BodyText"/>
      </w:pPr>
      <w:r>
        <w:rPr>
          <w:iCs/>
          <w:i/>
        </w:rPr>
        <w:t xml:space="preserve">[Image Placeholder: Map of Saudi Arabia highlighting Riyadh as the central hub for Ophthalmic Research]</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Ophthalmology in Saudi Arabia</dc:title>
  <dc:creator/>
  <dc:language>en</dc:language>
  <cp:keywords/>
  <dcterms:created xsi:type="dcterms:W3CDTF">2026-07-29T10:36:19Z</dcterms:created>
  <dcterms:modified xsi:type="dcterms:W3CDTF">2026-07-29T10:36:19Z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