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Singapore</w:t>
      </w:r>
    </w:p>
    <w:bookmarkStart w:id="28" w:name="Xdb1227633a50683d7ddee9d653ad8ad972d2521"/>
    <w:p>
      <w:pPr>
        <w:pStyle w:val="Heading1"/>
      </w:pPr>
      <w:r>
        <w:t xml:space="preserve">The Evolving Role of the Ophthalmologist in Singapore: Integrating Technology, Demographics, and Public Health Strategy</w:t>
      </w:r>
    </w:p>
    <w:p>
      <w:pPr>
        <w:pStyle w:val="FirstParagraph"/>
      </w:pPr>
      <w:r>
        <w:rPr>
          <w:bCs/>
          <w:b/>
        </w:rPr>
        <w:t xml:space="preserve">A Poster Presentation for Academic Review and Clinical Application</w:t>
      </w:r>
    </w:p>
    <w:p>
      <w:pPr>
        <w:pStyle w:val="BodyText"/>
      </w:pPr>
      <w:r>
        <w:rPr>
          <w:iCs/>
          <w:i/>
        </w:rPr>
        <w:t xml:space="preserve">This document serves as a comprehensive academic poster presentation detailing the multifaceted responsibilities, challenges, and innovations facing ophthalmologists practicing in Singapore. It addresses the unique epidemiological landscape of Singapore, the integration of advanced technological modalities, and strategic public health initiatives aimed at preserving visual acuity for an aging population.</w:t>
      </w:r>
    </w:p>
    <w:bookmarkStart w:id="20" w:name="X4978f09ae464a718158c0e84397ec987e04bf08"/>
    <w:p>
      <w:pPr>
        <w:pStyle w:val="Heading2"/>
      </w:pPr>
      <w:r>
        <w:t xml:space="preserve">1. Introduction: The Ophthalmologist as a Central Pillar of Healthcare in Singapore</w:t>
      </w:r>
    </w:p>
    <w:p>
      <w:pPr>
        <w:pStyle w:val="FirstParagraph"/>
      </w:pPr>
      <w:r>
        <w:t xml:space="preserve">In the context of modern healthcare delivery, the ophthalmologist is no longer viewed solely as a specialist treating isolated ocular pathologies. In Singapore, an aging society characterized by high urbanization and significant genetic diversity among its multi-ethnic population, the role of the ophthalmologist has expanded to include preventive care management and health policy advisory functions. This poster presentation explores how ophthalmologists in Singapore are adapting to meet rising demands driven by non-communicable diseases (NCDs) such as diabetic retinopathy, age-related macular degeneration (AMD), and glaucoma.</w:t>
      </w:r>
    </w:p>
    <w:p>
      <w:pPr>
        <w:pStyle w:val="BodyText"/>
      </w:pPr>
      <w:r>
        <w:t xml:space="preserve">The primary objective of this academic review is to highlight the critical intersection between clinical excellence, technological innovation, and public health strategy. It posits that the effective management of visual impairment in Singapore requires a holistic approach where ophthalmologists collaborate closely with general practitioners, endocrinologists, and policymakers within the national healthcare framework.</w:t>
      </w:r>
    </w:p>
    <w:bookmarkEnd w:id="20"/>
    <w:bookmarkStart w:id="21" w:name="X36563f75ff8e33bf320dab32d92f924a44a9994"/>
    <w:p>
      <w:pPr>
        <w:pStyle w:val="Heading2"/>
      </w:pPr>
      <w:r>
        <w:t xml:space="preserve">2. Epidemiological Landscape: Demographic Challenges</w:t>
      </w:r>
    </w:p>
    <w:p>
      <w:pPr>
        <w:pStyle w:val="FirstParagraph"/>
      </w:pPr>
      <w:r>
        <w:t xml:space="preserve">Singapore presents a unique demographic challenge for eye care providers. As one of the fastest-aging societies globally, Singapore has witnessed a sharp increase in age-related ocular conditions. According to recent data from the Singapore National Eye Centre (SNEC), diabetic retinopathy remains a leading cause of preventable blindness among working-age adults, while cataracts and glaucoma dominate the caseloads of older demographics.</w:t>
      </w:r>
    </w:p>
    <w:p>
      <w:pPr>
        <w:pStyle w:val="BodyText"/>
      </w:pPr>
      <w:r>
        <w:t xml:space="preserve">The prevalence of diabetes in Singapore is projected to rise, directly correlating with an increased burden on ophthalmologists to manage complex posterior segment diseases. Furthermore, the high myopia rate among Singaporean youth represents a significant public health concern. Ophthalmologists are increasingly tasked not only with refractive surgery and corrective lens fitting but also with implementing intervention strategies to slow myopic progression in school-aged children, thereby reducing the risk of pathological myopia-related complications later in life.</w:t>
      </w:r>
    </w:p>
    <w:bookmarkEnd w:id="21"/>
    <w:bookmarkStart w:id="22" w:name="Xf3d89729100731e5c7890346400bc95fef5057c"/>
    <w:p>
      <w:pPr>
        <w:pStyle w:val="Heading2"/>
      </w:pPr>
      <w:r>
        <w:t xml:space="preserve">3. Technological Integration and Diagnostic Innovation</w:t>
      </w:r>
    </w:p>
    <w:p>
      <w:pPr>
        <w:pStyle w:val="FirstParagraph"/>
      </w:pPr>
      <w:r>
        <w:t xml:space="preserve">The modern ophthalmologist in Singapore operates within a highly digitized healthcare ecosystem. The adoption of Artificial Intelligence (AI) and Machine Learning (ML) algorithms has revolutionized diagnostic accuracy. AI-driven tools are now routinely used to screen for diabetic retinopathy in primary care settings, allowing for earlier referral to ophthalmologists when necessary.</w:t>
      </w:r>
    </w:p>
    <w:p>
      <w:pPr>
        <w:pStyle w:val="BodyText"/>
      </w:pPr>
      <w:r>
        <w:t xml:space="preserve">Moreover, Optical Coherence Tomography (OCT) and wide-field imaging have become standard of care. These technologies enable ophthalmologists to capture high-resolution cross-sectional images of the retina, facilitating precise diagnosis and monitoring of AMD and glaucomatous changes. The poster presentation highlights case studies where AI-assisted diagnostics reduced false-negative rates in early detection stages by over fifteen percent, emphasizing the importance of tech-literacy among practicing specialists.</w:t>
      </w:r>
    </w:p>
    <w:bookmarkEnd w:id="22"/>
    <w:bookmarkStart w:id="23" w:name="clinical-management-strategies"/>
    <w:p>
      <w:pPr>
        <w:pStyle w:val="Heading2"/>
      </w:pPr>
      <w:r>
        <w:t xml:space="preserve">4. Clinical Management Strategies</w:t>
      </w:r>
    </w:p>
    <w:p>
      <w:pPr>
        <w:pStyle w:val="FirstParagraph"/>
      </w:pPr>
      <w:r>
        <w:t xml:space="preserve">Treatment modalities have evolved significantly with the advent of anti-VEGF (Vascular Endothelial Growth Factor) therapies. For conditions such as wet AMD and diabetic macular edema, intravitreal injections have become routine procedures. Ophthalmologists in Singapore must balance efficacy with cost-effectiveness, navigating the complexities of subsidization schemes provided by the government while ensuring equitable access for all patients.</w:t>
      </w:r>
    </w:p>
    <w:p>
      <w:pPr>
        <w:pStyle w:val="BodyText"/>
      </w:pPr>
      <w:r>
        <w:t xml:space="preserve">Additionally, refractive surgery has seen a surge in demand. Techniques such as LASIK and SMILE (Small Incision Lenticule Extraction) are widely performed. However, ophthalmologists must exercise rigorous pre-operative screening to rule out contraindications like keratoconus or severe dry eye disease, which are prevalent in air-conditioned urban environments like Singapore.</w:t>
      </w:r>
    </w:p>
    <w:bookmarkEnd w:id="23"/>
    <w:bookmarkStart w:id="24" w:name="public-health-and-policy-implications"/>
    <w:p>
      <w:pPr>
        <w:pStyle w:val="Heading2"/>
      </w:pPr>
      <w:r>
        <w:t xml:space="preserve">5. Public Health and Policy Implications</w:t>
      </w:r>
    </w:p>
    <w:p>
      <w:pPr>
        <w:pStyle w:val="FirstParagraph"/>
      </w:pPr>
      <w:r>
        <w:t xml:space="preserve">The role of the ophthalmologist extends beyond the clinic walls into public health advocacy. In Singapore, specialists often serve on national committees to develop guidelines for vision screening programs. For instance, initiatives targeting elderly citizens include subsidized annual eye examinations to detect cataracts and glaucoma early.</w:t>
      </w:r>
    </w:p>
    <w:p>
      <w:pPr>
        <w:pStyle w:val="BodyText"/>
      </w:pPr>
      <w:r>
        <w:t xml:space="preserve">Ophthalmologists are also instrumental in health promotion campaigns aimed at reducing the risk factors associated with NCDs. Collaborations with the Ministry of Health (MOH) involve educating patients on lifestyle modifications, such as smoking cessation and blood sugar control, which directly impact ocular health. The poster emphasizes that sustainable eye care requires a shift from reactive treatment to proactive prevention.</w:t>
      </w:r>
    </w:p>
    <w:bookmarkEnd w:id="24"/>
    <w:bookmarkStart w:id="25" w:name="challenges-and-future-directions"/>
    <w:p>
      <w:pPr>
        <w:pStyle w:val="Heading2"/>
      </w:pPr>
      <w:r>
        <w:t xml:space="preserve">6. Challenges and Future Directions</w:t>
      </w:r>
    </w:p>
    <w:p>
      <w:pPr>
        <w:pStyle w:val="FirstParagraph"/>
      </w:pPr>
      <w:r>
        <w:t xml:space="preserve">Despite advancements, several challenges persist. Workforce shortages remain a concern as the demand for specialized services outpaces the supply of trained professionals. To address this, teleophthalmology has emerged as a viable solution, enabling remote consultations and follow-ups, particularly for rural or home-bound patients.</w:t>
      </w:r>
    </w:p>
    <w:p>
      <w:pPr>
        <w:pStyle w:val="BodyText"/>
      </w:pPr>
      <w:r>
        <w:t xml:space="preserve">Furthermore, the high cost of advanced therapies poses financial barriers for some segments of the population. Ophthalmologists must engage in shared decision-making with patients regarding treatment plans that align with their financial capabilities without compromising clinical outcomes.</w:t>
      </w:r>
    </w:p>
    <w:bookmarkEnd w:id="25"/>
    <w:bookmarkStart w:id="26" w:name="conclusion"/>
    <w:p>
      <w:pPr>
        <w:pStyle w:val="Heading2"/>
      </w:pPr>
      <w:r>
        <w:t xml:space="preserve">7. Conclusion</w:t>
      </w:r>
    </w:p>
    <w:p>
      <w:pPr>
        <w:pStyle w:val="FirstParagraph"/>
      </w:pPr>
      <w:r>
        <w:t xml:space="preserve">In conclusion, the ophthalmologist in Singapore plays a pivotal role in safeguarding public health amidst demographic shifts and technological advancements. By integrating cutting-edge diagnostic tools, advocating for preventive care, and collaborating across multidisciplinary teams, specialists can significantly mitigate the burden of visual impairment. Future research should focus on optimizing telehealth infrastructure and developing personalized medicine approaches tailored to the genetic diversity of Singapore's population.</w:t>
      </w:r>
    </w:p>
    <w:p>
      <w:pPr>
        <w:pStyle w:val="BodyText"/>
      </w:pPr>
      <w:r>
        <w:t xml:space="preserve">This poster presentation underscores that the future of ophthalmology in Singapore relies on a dynamic interplay between clinical expertise, technological innovation, and strategic public health policy. Continuous education and adaptation are essential for maintaining high standards of care in this rapidly evolving field.</w:t>
      </w:r>
    </w:p>
    <w:bookmarkEnd w:id="26"/>
    <w:bookmarkStart w:id="27" w:name="references"/>
    <w:p>
      <w:pPr>
        <w:pStyle w:val="Heading2"/>
      </w:pPr>
      <w:r>
        <w:t xml:space="preserve">References</w:t>
      </w:r>
    </w:p>
    <w:p>
      <w:pPr>
        <w:pStyle w:val="FirstParagraph"/>
      </w:pPr>
      <w:r>
        <w:rPr>
          <w:iCs/>
          <w:i/>
        </w:rPr>
        <w:t xml:space="preserve">(Note: References would be listed here in APA or Vancouver style for formal academic submission.)</w:t>
      </w:r>
    </w:p>
    <w:p>
      <w:pPr>
        <w:numPr>
          <w:ilvl w:val="0"/>
          <w:numId w:val="1001"/>
        </w:numPr>
        <w:pStyle w:val="Compact"/>
      </w:pPr>
      <w:r>
        <w:t xml:space="preserve">Singapore National Eye Centre Annual Reports.</w:t>
      </w:r>
    </w:p>
    <w:p>
      <w:pPr>
        <w:numPr>
          <w:ilvl w:val="0"/>
          <w:numId w:val="1001"/>
        </w:numPr>
        <w:pStyle w:val="Compact"/>
      </w:pPr>
      <w:r>
        <w:t xml:space="preserve">Mohamed S, et al. "Epidemiology of Diabetic Retinopathy in Singapore." *Singapore Medical Journal*.</w:t>
      </w:r>
    </w:p>
    <w:p>
      <w:pPr>
        <w:numPr>
          <w:ilvl w:val="0"/>
          <w:numId w:val="1001"/>
        </w:numPr>
        <w:pStyle w:val="Compact"/>
      </w:pPr>
      <w:r>
        <w:t xml:space="preserve">National Healthcare Group Studies on Age-Related Macular Degeneration Trends.</w:t>
      </w:r>
    </w:p>
    <w:p>
      <w:pPr>
        <w:pStyle w:val="FirstParagraph"/>
      </w:pPr>
      <w:r>
        <w:t xml:space="preserve">© 2023 Academic Poster Presentation Series. All rights reserved. Content designed for professional review and dissemination in the Republic of Singapore healthcare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Ophthalmologist in Singapore</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file>