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Turkey</w:t>
      </w:r>
    </w:p>
    <w:bookmarkStart w:id="32" w:name="evolving-landscapes-in-ophthalmic-care"/>
    <w:p>
      <w:pPr>
        <w:pStyle w:val="Heading1"/>
      </w:pPr>
      <w:r>
        <w:t xml:space="preserve">Evolving Landscapes in Ophthalmic Care</w:t>
      </w:r>
    </w:p>
    <w:p>
      <w:pPr>
        <w:pStyle w:val="FirstParagraph"/>
      </w:pPr>
      <w:r>
        <w:t xml:space="preserve">A Comprehensive Analysis of the Role of the Ophthalmologist within the Healthcare Framework of Turkey, Ankara</w:t>
      </w:r>
    </w:p>
    <w:p>
      <w:pPr>
        <w:pStyle w:val="BodyText"/>
      </w:pPr>
      <w:r>
        <w:rPr>
          <w:bCs/>
          <w:b/>
        </w:rPr>
        <w:t xml:space="preserve">Audience:</w:t>
      </w:r>
      <w:r>
        <w:t xml:space="preserve"> </w:t>
      </w:r>
      <w:r>
        <w:t xml:space="preserve">Academic Peers, Medical Students, and Healthcare Administrators</w:t>
      </w:r>
      <w:r>
        <w:br/>
      </w:r>
      <w:r>
        <w:rPr>
          <w:bCs/>
          <w:b/>
        </w:rPr>
        <w:t xml:space="preserve">Location Context:</w:t>
      </w:r>
      <w:r>
        <w:t xml:space="preserve"> </w:t>
      </w:r>
      <w:r>
        <w:t xml:space="preserve">Ankara Capital Region, Turkey</w:t>
      </w:r>
      <w:r>
        <w:br/>
      </w:r>
      <w:r>
        <w:rPr>
          <w:bCs/>
          <w:b/>
        </w:rPr>
        <w:t xml:space="preserve">Presentation Format:</w:t>
      </w:r>
    </w:p>
    <w:bookmarkStart w:id="20" w:name="absolute-abstract"/>
    <w:p>
      <w:pPr>
        <w:pStyle w:val="Heading3"/>
      </w:pPr>
      <w:r>
        <w:rPr>
          <w:bCs/>
          <w:b/>
        </w:rPr>
        <w:t xml:space="preserve">Absolute Abstract</w:t>
      </w:r>
    </w:p>
    <w:p>
      <w:pPr>
        <w:pStyle w:val="FirstParagraph"/>
      </w:pPr>
      <w:r>
        <w:t xml:space="preserve">This academic poster presentation explores the multifaceted role of the modern ophthalmologist in Turkey, with a specific geographical and administrative focus on Ankara. As the capital city, Ankara serves as a critical hub for medical education, research institutions, and centralized healthcare policy implementation in Turkey. This document synthesizes current clinical practices, technological advancements in ocular surgery (such as LASIK and cataract procedures), public health initiatives regarding diabetic retinopathy in the Turkish population, and the educational trajectory required to become a certified ophthalmologist within the Turkish medical system. The findings highlight how Ankara’s central location facilitates both high-volume tertiary care and rigorous academic research, positioning the ophthalmologist as a pivotal figure in sustaining national vision health.</w:t>
      </w:r>
    </w:p>
    <w:bookmarkEnd w:id="20"/>
    <w:bookmarkStart w:id="21" w:name="X0b9d3fd77fb5007f54a644e8bdd4c63754580cf"/>
    <w:p>
      <w:pPr>
        <w:pStyle w:val="Heading2"/>
      </w:pPr>
      <w:r>
        <w:t xml:space="preserve">1. Introduction: The Strategic Importance of Ophthalmology in Turkey</w:t>
      </w:r>
    </w:p>
    <w:p>
      <w:pPr>
        <w:pStyle w:val="FirstParagraph"/>
      </w:pPr>
      <w:r>
        <w:t xml:space="preserve">The field of ophthalmology in Turkey has experienced robust growth over the past two decades, driven by an aging population, increased prevalence of lifestyle-related diseases, and significant investments in healthcare infrastructure. In this context, the</w:t>
      </w:r>
      <w:r>
        <w:t xml:space="preserve"> </w:t>
      </w:r>
      <w:r>
        <w:rPr>
          <w:bCs/>
          <w:b/>
        </w:rPr>
        <w:t xml:space="preserve">Ophthalmologist</w:t>
      </w:r>
      <w:r>
        <w:t xml:space="preserve"> </w:t>
      </w:r>
      <w:r>
        <w:t xml:space="preserve">is not merely a surgeon but a primary diagnostician for systemic conditions such as diabetes and hypertension.</w:t>
      </w:r>
    </w:p>
    <w:p>
      <w:pPr>
        <w:pStyle w:val="BodyText"/>
      </w:pPr>
      <w:r>
        <w:t xml:space="preserve">Ankara, as the political and academic heart of Turkey, hosts several premier universities including Hacettepe University and Ankara University. These institutions serve as training grounds for the next generation of specialists. The concentration of resources in Ankara allows for a unique synergy between clinical practice and academic inquiry, making it an ideal case study for understanding the broader trends in Turkish ophthalmology.</w:t>
      </w:r>
    </w:p>
    <w:bookmarkEnd w:id="21"/>
    <w:bookmarkStart w:id="22" w:name="X800f85d4eda096345dabbcbb0817587e11c2414"/>
    <w:p>
      <w:pPr>
        <w:pStyle w:val="Heading2"/>
      </w:pPr>
      <w:r>
        <w:t xml:space="preserve">2. Educational Pathway to Becoming an Ophthalmologist in Turkey</w:t>
      </w:r>
    </w:p>
    <w:p>
      <w:pPr>
        <w:pStyle w:val="FirstParagraph"/>
      </w:pPr>
      <w:r>
        <w:t xml:space="preserve">Becoming a qualified specialist requires navigating a rigorous educational framework established by the Ministry of Health and higher education institutions in Turkey. The pathway typically involves:</w:t>
      </w:r>
    </w:p>
    <w:p>
      <w:pPr>
        <w:numPr>
          <w:ilvl w:val="0"/>
          <w:numId w:val="1001"/>
        </w:numPr>
        <w:pStyle w:val="Compact"/>
      </w:pPr>
      <w:r>
        <w:rPr>
          <w:bCs/>
          <w:b/>
        </w:rPr>
        <w:t xml:space="preserve">Medical School (6 Years):</w:t>
      </w:r>
      <w:r>
        <w:t xml:space="preserve">A mandatory undergraduate program covering basic sciences, clinical rotations, and internships across all medical disciplines.</w:t>
      </w:r>
    </w:p>
    <w:p>
      <w:pPr>
        <w:numPr>
          <w:ilvl w:val="0"/>
          <w:numId w:val="1001"/>
        </w:numPr>
        <w:pStyle w:val="Compact"/>
      </w:pPr>
      <w:r>
        <w:rPr>
          <w:bCs/>
          <w:b/>
        </w:rPr>
        <w:t xml:space="preserve">Ophthalmology Residency (4 Years):</w:t>
      </w:r>
      <w:r>
        <w:t xml:space="preserve">Select candidates enter the residency program in Ankara’s leading university hospitals. This stage focuses on intensive clinical rotations in retina, glaucoma, cornea, pediatric ophthalmology, and neuro-ophthalmology.</w:t>
      </w:r>
    </w:p>
    <w:p>
      <w:pPr>
        <w:numPr>
          <w:ilvl w:val="0"/>
          <w:numId w:val="1001"/>
        </w:numPr>
        <w:pStyle w:val="Compact"/>
      </w:pPr>
      <w:r>
        <w:rPr>
          <w:bCs/>
          <w:b/>
        </w:rPr>
        <w:t xml:space="preserve">Fellowship (Optional):</w:t>
      </w:r>
      <w:r>
        <w:t xml:space="preserve">Many residents pursue subspecialty training in areas such as refractive surgery or oculoplastics. Ankara offers numerous fellowship opportunities due to its status as a medical referral center for the entire region.</w:t>
      </w:r>
    </w:p>
    <w:bookmarkEnd w:id="22"/>
    <w:bookmarkStart w:id="26" w:name="X87f4a702771ac59363a6bea7f94fc13224459e5"/>
    <w:p>
      <w:pPr>
        <w:pStyle w:val="Heading2"/>
      </w:pPr>
      <w:r>
        <w:t xml:space="preserve">3. Clinical Practice and Surgical Excellence in Ankara</w:t>
      </w:r>
    </w:p>
    <w:p>
      <w:pPr>
        <w:pStyle w:val="FirstParagraph"/>
      </w:pPr>
      <w:r>
        <w:t xml:space="preserve">The role of the ophthalmologist extends deeply into surgical interventions, where Turkish hospitals have achieved international acclaim. In Ankara, particularly in districts such as Çankaya and Kızılay, state-of-the-art facilities operate alongside public hospital networks.</w:t>
      </w:r>
    </w:p>
    <w:bookmarkStart w:id="23" w:name="refractive-surgery"/>
    <w:p>
      <w:pPr>
        <w:pStyle w:val="Heading3"/>
      </w:pPr>
      <w:r>
        <w:t xml:space="preserve">3.1 Refractive Surgery</w:t>
      </w:r>
    </w:p>
    <w:p>
      <w:pPr>
        <w:pStyle w:val="FirstParagraph"/>
      </w:pPr>
      <w:r>
        <w:t xml:space="preserve">Turkey is globally recognized for its high volume of LASIK and SMILE procedures. The ophthalmologist specializing in refractive surgery in Ankara plays a crucial role in meeting domestic demand while also serving medical tourism patients from Europe and the Middle East. Precision diagnostics using topography-guided systems are standard practice, ensuring safety and efficacy.</w:t>
      </w:r>
    </w:p>
    <w:bookmarkEnd w:id="23"/>
    <w:bookmarkStart w:id="24" w:name="cataract-management"/>
    <w:p>
      <w:pPr>
        <w:pStyle w:val="Heading3"/>
      </w:pPr>
      <w:r>
        <w:t xml:space="preserve">3.2 Cataract Management</w:t>
      </w:r>
    </w:p>
    <w:p>
      <w:pPr>
        <w:pStyle w:val="FirstParagraph"/>
      </w:pPr>
      <w:r>
        <w:t xml:space="preserve">Cataract surgery remains one of the most common procedures performed by an ophthalmologist in Turkey. With a significant elderly population in Ankara’s neighborhoods, public health programs focus on accessibility. The integration of femtosecond laser-assisted cataract surgery (FLACS) into standard protocols represents a major leap forward in quality control and patient outcomes.</w:t>
      </w:r>
    </w:p>
    <w:bookmarkEnd w:id="24"/>
    <w:bookmarkStart w:id="25" w:name="retinal-pathologies"/>
    <w:p>
      <w:pPr>
        <w:pStyle w:val="Heading3"/>
      </w:pPr>
      <w:r>
        <w:t xml:space="preserve">3.3 Retinal Pathologies</w:t>
      </w:r>
    </w:p>
    <w:p>
      <w:pPr>
        <w:pStyle w:val="FirstParagraph"/>
      </w:pPr>
      <w:r>
        <w:t xml:space="preserve">Due to the high prevalence of Type 2 diabetes in Turkey, retinal diseases are a significant public health concern. Ophthalmologists in Ankara utilize advanced imaging technologies such as Optical Coherence Tomography (OCT) and Fundus Autofluorescence to diagnose Diabetic Retinopathy early. Anti-VEGF intravitreal injections have become a cornerstone of treatment, requiring precise skill sets maintained through continuous academic updates.</w:t>
      </w:r>
    </w:p>
    <w:bookmarkEnd w:id="25"/>
    <w:bookmarkEnd w:id="26"/>
    <w:bookmarkStart w:id="27" w:name="academic-research-and-innovation"/>
    <w:p>
      <w:pPr>
        <w:pStyle w:val="Heading2"/>
      </w:pPr>
      <w:r>
        <w:t xml:space="preserve">4. Academic Research and Innovation</w:t>
      </w:r>
    </w:p>
    <w:p>
      <w:pPr>
        <w:pStyle w:val="FirstParagraph"/>
      </w:pPr>
      <w:r>
        <w:t xml:space="preserve">Ankara serves as a nexus for ophthalmic research in Turkey. University-affiliated hospitals publish extensively in international journals covering topics ranging from genetic eye disorders to epidemiological studies of corneal diseases. The collaboration between clinical departments and biomedical engineering faculties allows for the development of new diagnostic tools tailored to specific environmental factors affecting vision.</w:t>
      </w:r>
    </w:p>
    <w:p>
      <w:pPr>
        <w:pStyle w:val="BodyText"/>
      </w:pPr>
      <w:r>
        <w:t xml:space="preserve">Furthermore, annual congresses held in Ankara attract global experts, facilitating knowledge exchange. This academic environment ensures that the practicing ophthalmologist remains at the forefront of evidence-based medicine.</w:t>
      </w:r>
    </w:p>
    <w:bookmarkEnd w:id="27"/>
    <w:bookmarkStart w:id="28" w:name="Xf8a7e9e6eb817a957aa68c131545fbf9a4e1dab"/>
    <w:p>
      <w:pPr>
        <w:pStyle w:val="Heading2"/>
      </w:pPr>
      <w:r>
        <w:t xml:space="preserve">5. Public Health Challenges and Policy Implications</w:t>
      </w:r>
    </w:p>
    <w:p>
      <w:pPr>
        <w:pStyle w:val="FirstParagraph"/>
      </w:pPr>
      <w:r>
        <w:t xml:space="preserve">The Turkish healthcare system has undergone significant reforms aimed at universal coverage (Genel Sağlık Sigortası - GSS). For the ophthalmologist, this means managing a broader spectrum of patients with varying socioeconomic backgrounds. In Ankara, disparities exist between affluent neighborhoods and rural outskirts. Addressing these gaps requires community outreach programs focused on glaucoma screening and pediatric vision checks.</w:t>
      </w:r>
    </w:p>
    <w:p>
      <w:pPr>
        <w:pStyle w:val="BodyText"/>
      </w:pPr>
      <w:r>
        <w:rPr>
          <w:bCs/>
          <w:b/>
        </w:rPr>
        <w:t xml:space="preserve">Disease Area</w:t>
      </w:r>
    </w:p>
    <w:p>
      <w:pPr>
        <w:pStyle w:val="BodyText"/>
      </w:pPr>
      <w:r>
        <w:rPr>
          <w:bCs/>
          <w:b/>
        </w:rPr>
        <w:t xml:space="preserve">Prevalence in Turkey</w:t>
      </w:r>
    </w:p>
    <w:p>
      <w:pPr>
        <w:pStyle w:val="BodyText"/>
      </w:pPr>
      <w:r>
        <w:rPr>
          <w:bCs/>
          <w:b/>
        </w:rPr>
        <w:t xml:space="preserve">Ankara Intervention Focus</w:t>
      </w:r>
    </w:p>
    <w:p>
      <w:pPr>
        <w:pStyle w:val="BodyText"/>
      </w:pPr>
      <w:r>
        <w:t xml:space="preserve">Cataract</w:t>
      </w:r>
    </w:p>
    <w:p>
      <w:pPr>
        <w:pStyle w:val="BodyText"/>
      </w:pPr>
      <w:r>
        <w:t xml:space="preserve">Moderate to High (Age-related)</w:t>
      </w:r>
    </w:p>
    <w:p>
      <w:pPr>
        <w:pStyle w:val="BodyText"/>
      </w:pPr>
      <w:r>
        <w:t xml:space="preserve">Surgical volume optimization and cataract registry compliance.</w:t>
      </w:r>
    </w:p>
    <w:p>
      <w:pPr>
        <w:pStyle w:val="BodyText"/>
      </w:pPr>
      <w:r>
        <w:br/>
      </w:r>
      <w:r>
        <w:t xml:space="preserve">-Diabetic Retinopathy</w:t>
      </w:r>
      <w:r>
        <w:br/>
      </w:r>
      <w:r>
        <w:t xml:space="preserve">-High</w:t>
      </w:r>
      <w:r>
        <w:br/>
      </w:r>
      <w:r>
        <w:t xml:space="preserve">-Regular screening campaigns in public health centers.</w:t>
      </w:r>
      <w:r>
        <w:br/>
      </w:r>
    </w:p>
    <w:bookmarkEnd w:id="28"/>
    <w:bookmarkStart w:id="29" w:name="the-role-of-technology-and-ai"/>
    <w:p>
      <w:pPr>
        <w:pStyle w:val="Heading2"/>
      </w:pPr>
      <w:r>
        <w:t xml:space="preserve">6. The Role of Technology and AI</w:t>
      </w:r>
    </w:p>
    <w:p>
      <w:pPr>
        <w:pStyle w:val="FirstParagraph"/>
      </w:pPr>
      <w:r>
        <w:t xml:space="preserve">The modern ophthalmologist in Turkey is increasingly integrating artificial intelligence into diagnostic workflows. In Ankara’s academic hospitals, AI algorithms are being tested for their ability to detect diabetic retinopathy from fundus images with high sensitivity. This technological adoption enhances the capacity of specialists to manage large patient loads efficiently without compromising diagnostic accuracy.</w:t>
      </w:r>
    </w:p>
    <w:bookmarkEnd w:id="29"/>
    <w:bookmarkStart w:id="30" w:name="conclusion"/>
    <w:p>
      <w:pPr>
        <w:pStyle w:val="Heading2"/>
      </w:pPr>
      <w:r>
        <w:t xml:space="preserve">7. Conclusion</w:t>
      </w:r>
    </w:p>
    <w:p>
      <w:pPr>
        <w:pStyle w:val="FirstParagraph"/>
      </w:pPr>
      <w:r>
        <w:t xml:space="preserve">The ophthalmologist in Turkey, particularly within the academic and clinical ecosystem of Ankara, plays a vital role in preserving vision and improving quality of life. Through rigorous training, advanced surgical capabilities, and active participation in research, these specialists contribute significantly to national health metrics. As Turkey continues to modernize its healthcare infrastructure, the collaboration between public policy institutions in Ankara and private clinical practices will determine future success rates in managing blinding diseases.</w:t>
      </w:r>
    </w:p>
    <w:p>
      <w:pPr>
        <w:pStyle w:val="BodyText"/>
      </w:pPr>
      <w:r>
        <w:t xml:space="preserve">Future directions include greater emphasis on tele-ophthalmology to reach remote areas of Anatolia, leveraging Ankara’s central connectivity. The sustained commitment to academic excellence ensures that Turkish ophthalmologists remain competitive on the global stage.</w:t>
      </w:r>
    </w:p>
    <w:bookmarkEnd w:id="30"/>
    <w:bookmarkStart w:id="31" w:name="references-and-further-reading"/>
    <w:p>
      <w:pPr>
        <w:pStyle w:val="Heading2"/>
      </w:pPr>
      <w:r>
        <w:t xml:space="preserve">8. References and Further Reading</w:t>
      </w:r>
    </w:p>
    <w:p>
      <w:pPr>
        <w:numPr>
          <w:ilvl w:val="0"/>
          <w:numId w:val="1002"/>
        </w:numPr>
        <w:pStyle w:val="Compact"/>
      </w:pPr>
      <w:r>
        <w:t xml:space="preserve">Turkish Society of Ophthalmology Annual Reports (2018-2023).</w:t>
      </w:r>
    </w:p>
    <w:p>
      <w:pPr>
        <w:numPr>
          <w:ilvl w:val="0"/>
          <w:numId w:val="1002"/>
        </w:numPr>
        <w:pStyle w:val="Compact"/>
      </w:pPr>
      <w:r>
        <w:t xml:space="preserve">Hacettepe University Faculty of Medicine, Department of Ophthalmology Publications.</w:t>
      </w:r>
    </w:p>
    <w:p>
      <w:pPr>
        <w:numPr>
          <w:ilvl w:val="0"/>
          <w:numId w:val="1002"/>
        </w:numPr>
        <w:pStyle w:val="Compact"/>
      </w:pPr>
      <w:r>
        <w:t xml:space="preserve">Ankara University Health Sciences Institute: Epidemiological Studies on Eye Diseases in Central Anatolia.</w:t>
      </w:r>
    </w:p>
    <w:p>
      <w:pPr>
        <w:numPr>
          <w:ilvl w:val="0"/>
          <w:numId w:val="1002"/>
        </w:numPr>
        <w:pStyle w:val="Compact"/>
      </w:pPr>
      <w:r>
        <w:t xml:space="preserve">Turkish Ministry of Health Public Health Guidelines for Non-Communicable Diseases.</w:t>
      </w:r>
    </w:p>
    <w:p>
      <w:pPr>
        <w:pStyle w:val="FirstParagraph"/>
      </w:pPr>
      <w:r>
        <w:rPr>
          <w:bCs/>
          <w:b/>
        </w:rPr>
        <w:t xml:space="preserve">Note to Presenter:</w:t>
      </w:r>
      <w:r>
        <w:t xml:space="preserve">This content is structured to be displayed on a standard academic poster board (120cm x 90cm). Use visual aids such as graphs showing surgical volume trends in Ankara and photos of local university facilities to enhance engagement. Ensure all data cited reflects the most recent available statistics from Turkish health authorities.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Turkey</dc:title>
  <dc:creator/>
  <dc:language>en</dc:language>
  <cp:keywords/>
  <dcterms:created xsi:type="dcterms:W3CDTF">2026-07-29T07:59:54Z</dcterms:created>
  <dcterms:modified xsi:type="dcterms:W3CDTF">2026-07-29T07:59:54Z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