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Big</w:t>
      </w:r>
      <w:r>
        <w:t xml:space="preserve"> </w:t>
      </w:r>
      <w:r>
        <w:t xml:space="preserve">Apple:</w:t>
      </w:r>
      <w:r>
        <w:t xml:space="preserve"> </w:t>
      </w:r>
      <w:r>
        <w:t xml:space="preserve">Advances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Pre-Initiative</w:t>
      </w:r>
    </w:p>
    <w:p>
      <w:pPr>
        <w:pStyle w:val="BodyText"/>
      </w:pPr>
      <w:r>
        <w:t xml:space="preserve">Post-Initiative (1 Year)</w:t>
      </w:r>
    </w:p>
    <w:p>
      <w:pPr>
        <w:pStyle w:val="BodyText"/>
      </w:pPr>
      <w:r>
        <w:t xml:space="preserve">Patients Screened</w:t>
      </w:r>
    </w:p>
    <w:p>
      <w:pPr>
        <w:pStyle w:val="BodyText"/>
      </w:pPr>
      <w:r>
        <w:t xml:space="preserve">1,200/year</w:t>
      </w:r>
    </w:p>
    <w:p>
      <w:pPr>
        <w:pStyle w:val="BodyText"/>
      </w:pPr>
      <w:r>
        <w:t xml:space="preserve">4,500/year (+275%)</w:t>
      </w:r>
    </w:p>
    <w:p>
      <w:pPr>
        <w:pStyle w:val="BodyText"/>
      </w:pPr>
      <w:r>
        <w:t xml:space="preserve">Ophthalmologist Involvement:Detecting early signs of diabetic retinopathy and coordinating care with endocrinologists.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Ophthalmology in the Big Apple: Advances and Challenges</dc:title>
  <dc:creator/>
  <dc:language>en</dc:language>
  <cp:keywords/>
  <dcterms:created xsi:type="dcterms:W3CDTF">2026-07-30T03:15:50Z</dcterms:created>
  <dcterms:modified xsi:type="dcterms:W3CDTF">2026-07-30T03:15:50Z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