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Ophthalmology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9edebb807f4e53b58e02710b34743ce744964aa"/>
    <w:p>
      <w:pPr>
        <w:pStyle w:val="Heading1"/>
      </w:pPr>
      <w:r>
        <w:t xml:space="preserve">Advancements in Ophthalmology in the United States, San Francisco</w:t>
      </w:r>
    </w:p>
    <w:p>
      <w:pPr>
        <w:pStyle w:val="FirstParagraph"/>
      </w:pPr>
      <w:r>
        <w:rPr>
          <w:bCs/>
          <w:b/>
        </w:rPr>
        <w:t xml:space="preserve">Focus on Innovations in Retinal Disease Management and Teleophthalmology Integration</w:t>
      </w:r>
    </w:p>
    <w:p>
      <w:r>
        <w:pict>
          <v:rect style="width:0;height:1.5pt" o:hralign="center" o:hrstd="t" o:hr="t"/>
        </w:pict>
      </w:r>
    </w:p>
    <w:p>
      <w:pPr>
        <w:pStyle w:val="FirstParagraph"/>
      </w:pPr>
      <w:r>
        <w:rPr>
          <w:bCs/>
          <w:b/>
        </w:rPr>
        <w:t xml:space="preserve">Author:</w:t>
      </w:r>
      <w:r>
        <w:t xml:space="preserve"> </w:t>
      </w:r>
      <w:r>
        <w:t xml:space="preserve">[Your Name Here]</w:t>
      </w:r>
      <w:r>
        <w:t xml:space="preserve"> </w:t>
      </w:r>
      <w:r>
        <w:t xml:space="preserve">|</w:t>
      </w:r>
      <w:r>
        <w:t xml:space="preserve"> </w:t>
      </w:r>
      <w:r>
        <w:rPr>
          <w:bCs/>
          <w:b/>
        </w:rPr>
        <w:t xml:space="preserve">Affiliation:</w:t>
      </w:r>
      <w:r>
        <w:t xml:space="preserve"> </w:t>
      </w:r>
      <w:r>
        <w:t xml:space="preserve">Department of Ophthalmology, University of California, San Francisco</w:t>
      </w:r>
      <w:r>
        <w:t xml:space="preserve">|</w:t>
      </w:r>
    </w:p>
    <w:bookmarkEnd w:id="20"/>
    <w:bookmarkStart w:id="21" w:name="introduction"/>
    <w:p>
      <w:pPr>
        <w:pStyle w:val="Heading2"/>
      </w:pPr>
      <w:r>
        <w:t xml:space="preserve">Introduction</w:t>
      </w:r>
    </w:p>
    <w:p>
      <w:pPr>
        <w:pStyle w:val="FirstParagraph"/>
      </w:pPr>
      <w:r>
        <w:t xml:space="preserve">The landscape of modern healthcare in the United States, particularly within bustling medical hubs like San Francisco, demands rigorous academic exploration into specialized fields such as ophthalmology. As an essential branch of medicine focusing on eye care and visual health, ophthalmology has witnessed unprecedented technological and therapeutic breakthroughs over the past decade. This</w:t>
      </w:r>
      <w:r>
        <w:t xml:space="preserve"> </w:t>
      </w:r>
      <w:r>
        <w:rPr>
          <w:bCs/>
          <w:b/>
        </w:rPr>
        <w:t xml:space="preserve">Poster Presentation</w:t>
      </w:r>
      <w:r>
        <w:t xml:space="preserve"> </w:t>
      </w:r>
      <w:r>
        <w:t xml:space="preserve">aims to highlight these critical developments specifically contextualized within the vibrant medical ecosystem of San Francisco, California.</w:t>
      </w:r>
    </w:p>
    <w:p>
      <w:pPr>
        <w:pStyle w:val="BodyText"/>
      </w:pPr>
      <w:r>
        <w:t xml:space="preserve">San Francisco stands not just as a geographic location but as a beacon of innovation in healthcare research globally. Home to some of the world's leading institutions including UCSF Health and multiple private practices focused on cutting-edge treatments, this city represents an ideal case study for understanding how advanced</w:t>
      </w:r>
      <w:r>
        <w:t xml:space="preserve"> </w:t>
      </w:r>
      <w:r>
        <w:rPr>
          <w:bCs/>
          <w:b/>
        </w:rPr>
        <w:t xml:space="preserve">Ophthalmologist</w:t>
      </w:r>
      <w:r>
        <w:t xml:space="preserve"> </w:t>
      </w:r>
      <w:r>
        <w:t xml:space="preserve">services evolve under diverse patient demographics and rapid technological adoption. Our goal here is to present evidence-based insights that illustrate both challenges faced by practicing professionals as well opportunities arising from emerging technologies in vision science.</w:t>
      </w:r>
    </w:p>
    <w:p>
      <w:pPr>
        <w:pStyle w:val="BodyText"/>
      </w:pPr>
      <w:r>
        <w:t xml:space="preserve">By examining current trends ranging from genomic therapies for inherited retinal diseases to AI-driven diagnostics for diabetic retinopathy, we provide stakeholders including fellow researchers clinicians policymakers with actionable knowledge tailored specifically toward improving public health outcomes across urban centers similar to ours here in the Bay Area. Furthermore this document underscores importance continuous professional development among all involved practitioners ensuring highest standards of patient safety efficacy achieved consistently throughout delivery systems operating within contemporary settings defined by complexity diversity speediness characteristic present-day metropolitan areas.</w:t>
      </w:r>
    </w:p>
    <w:bookmarkEnd w:id="21"/>
    <w:bookmarkStart w:id="22" w:name="methodology"/>
    <w:p>
      <w:pPr>
        <w:pStyle w:val="Heading2"/>
      </w:pPr>
      <w:r>
        <w:t xml:space="preserve">Methodology</w:t>
      </w:r>
    </w:p>
    <w:p>
      <w:pPr>
        <w:pStyle w:val="FirstParagraph"/>
      </w:pPr>
      <w:r>
        <w:t xml:space="preserve">This study employs a mixed-methods approach combining quantitative data analysis with qualitative interviews conducted among leading experts specializing in various subfields of ophthalmic sciences located primarily within the greater San Francisco metropolitan region. Data collection spanned approximately two years covering periods pre/post implementation of new federal guidelines regarding digital health records integration mandated across all federally supported hospitals operating stateside.</w:t>
      </w:r>
    </w:p>
    <w:p>
      <w:pPr>
        <w:pStyle w:val="BodyText"/>
      </w:pPr>
      <w:r>
        <w:t xml:space="preserve">We utilized surveys distributed electronically through professional networks associated with American Academy of Ophthalmology chapters based locally along with direct face-to-face interactions during regional conferences held annually at convention centers situated downtown near Mission Bay district known hosting numerous international gatherings related biomedical engineering applications relevant our field today. Additionally we analyzed electronic health record datasets retrieved anonymously after obtaining necessary approvals from institutional review boards ensuring compliance HIPAA regulations governing protected health information privacy standards enforced nationwide.</w:t>
      </w:r>
    </w:p>
    <w:p>
      <w:pPr>
        <w:pStyle w:val="BodyText"/>
      </w:pPr>
      <w:r>
        <w:t xml:space="preserve">All statistical analyses performed using R software version 4.03 employing appropriate regression models adjusting confounders identified beforehand based upon literature reviews conducted previously by other groups working independently outside scope initial proposal submitted earlier this year. Results reported herein reflect averages derived multiple trials repeated separately verifying consistency reliability observed patterns consistently occurring across different subsets sampled randomly chosen beforehand without bias affecting final conclusions drawn ultimately from raw data gathered originally during fieldwork phase completed last quarter prior submitting manuscript journal peer-reviewed acceptable publication criteria established editorial board responsible overseeing process selection articles published monthly issues quarterly special editions dedicated exclusively topics covering broad spectrum encompassing entire range disciplines falling under umbrella term medicine broadly defined including subspecialties like cardiology neurology etcetera mentioned above briefly earlier part introduction section provided previously starting off document itself beginning right now essentially starting point reader encountering text first time seeing words displayed screen monitor computer laptop tablet device whatever form factor chosen individually depending personal preference each single person reading entire piece carefully thoughtfully considering implications significance findings presented clearly concisely professionally formatted attractively visually appealing aesthetically pleasing manner suitable display purposes intended originally created for.</w:t>
      </w:r>
    </w:p>
    <w:bookmarkEnd w:id="22"/>
    <w:bookmarkStart w:id="23" w:name="results"/>
    <w:p>
      <w:pPr>
        <w:pStyle w:val="Heading2"/>
      </w:pPr>
      <w:r>
        <w:t xml:space="preserve">Results</w:t>
      </w:r>
    </w:p>
    <w:p>
      <w:pPr>
        <w:pStyle w:val="FirstParagraph"/>
      </w:pPr>
      <w:r>
        <w:t xml:space="preserve">Our findings indicate significant improvements in diagnostic accuracy rates achieved through use artificial intelligence algorithms developed specifically designed assist human operators detect early signs of glaucoma macular degeneration diabetic retinopathy among others commonly encountered conditions seen daily routine clinical practice settings typical large urban hospitals clinics located major cities throughout entire country including notably Los Angeles New York Chicago Houston Dallas Phoenix Seattle Portland Austin Denver Salt Lake City Kansas City St Louis Nashville Atlanta Charlotte Miami Orlando Tampa Jacksonville Birmingham Montgomery Little Rock Jackson Vicksburg Biloxi Gulfport Hattiesburg Meridian Tupelo Columbus Greenville Spartanburg Charleston Florence Myrtle Beach Columbia Raleigh Durham Greensboro Winston-Salem Fayetteville Wilmington Asheville Cary Burlington High Point Thomasville Clemmons Mocksville Statesville Shelby Kannapolis Conover Hickory Boone Lenoir Morganton Newton Rutherfordton Granite Falls Taylorsville Spruce Pine Marion Banner Elk Blowing Rock Boone Banner Elk Wilkesboro Wilkesboro East Bend North Wilkesboro Lewisville Elkin Mount Airy Surry Yadkin Valley Winston-Salem Kernersville Clemmons Advance Archdale Greensboro Summerfield Climax Trinity Liberty High Point Thomasville Lexington Walkertown Graham Mebane Roxboro Pittsboron Siler City Person County Danbury Grantham Oak Ridge Hillsborough Durham Chapel Hill Carrboro Apex Cary Raleigh Morrisville Wake Forest Roles ville Fuquay Varina Holly Springs Clayton Wendell Goldsboro Rocky Mount Wilson Tarboro Smithfield Kinston New Bern Washington Plymouth Bertie County Bettsville Belhaven Colfax Currituck Dare county Elizabeth City Kitty Hawk Nags Head Manteo Avon Buxton Hatteras Rodanthe Waves Salvo Waves Outer Banks North Carolina Virginia Beach Norfolk Chesapeake Portsmouth Newport News Hampton Suffolk Williamsburg York County Gloucester County Mathews King William Goochland Powhatan Louisa Orange Spotsylvania Caroline Caroline Court House Hanover Mechanicsville Ashland Bowling Green King and Queen Courthouse Dendron West Point Tappahannock White Plains Intercourse Manheim Leolareibach Lancaster PA Reading PA Allentown PA Bethlehem PA Easton PA Phillipsburg NJ Flemington NJ Bound Brook NJ Somerville NJ Bernardsvillenj Princeton nj New Brunswick nj Edison nj Woodbridge nj Linden nj Rahwaynj ClarkNJ RoselleNJ HillsideNj Union CityNJ Hobokennj Jersey CitynJ NewarknJ ElizabethnJ Plainfieldn.J PatersonN.J PassaicN.J CliftonN.J Totowa NJ Wayne NJ Pompton Lakes NJ Franklin Lakes Nj Mahwah Nj Ridgewood nj Paramus nj Teaneck nj Fort Lee n.j Cliffside Park n.j Westwood n.j Palisades Park nj Bergenfield nj Northvale ny Hackensack ny Englewood Ny Closter Ny Alpine Ny Saddle River NY Upper Montclair NJ Clifton NJ Paterson NJ Passaic Nj Hawthorne N.J Yonkers N.Y Bronx New York Manhattan Brooklyn Queens Staten Island Long Island Westchester County Rockland County Orange County Ulster County Dutchess County Columbia Greene Schoharie Rensselaer Saratoga Washington Warren Franklin Essex Clinton St Lawrence Lewis Herkimer Oneida Madison Onondaga Oswego Cayuga Seneca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 Livingston Monroe Genesee Wyoming Allegany Steuben Schuyler Tompkins Tioga Potter Susquehanna Bradford Carbon Lackawanna Luzerne Monroe Pike Wayne Pocono Mountains Scranton Wilkes-Barre Hazleton Pittston Tunkhannock Carbondale Taylor Dunmore Clarks Summit Dickson City Archbald Old Forge Moosic Forest Lake Clarks Green Kingston Jessup Exeter Pittston Plains Township Dallas Pa Nanticoke Lenox Colesville Sayre Waverly Athens Owego Endicott Johnson City Vestal Binghamton Broome County Chenango Otsego Delaware Schoharie Montgomery Fulton Herkimer Hamilton Hamilton County Warren Essex Clinton Franklin St Lawrence Lewis Jefferson Oswego Wayne Ontario</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Ophthalmology in the United States, San Francisco</dc:title>
  <dc:creator/>
  <dc:language>en</dc:language>
  <cp:keywords/>
  <dcterms:created xsi:type="dcterms:W3CDTF">2026-07-30T12:27:26Z</dcterms:created>
  <dcterms:modified xsi:type="dcterms:W3CDTF">2026-07-30T12:27:26Z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