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Uzbekistan</w:t>
      </w:r>
      <w:r>
        <w:t xml:space="preserve"> </w:t>
      </w:r>
      <w:r>
        <w:t xml:space="preserve">Tashkent</w:t>
      </w:r>
    </w:p>
    <w:bookmarkStart w:id="20" w:name="X832b6116f5de9848637a563de4c47442a3a5665"/>
    <w:p>
      <w:pPr>
        <w:pStyle w:val="Heading1"/>
      </w:pPr>
      <w:r>
        <w:t xml:space="preserve">The Evolving Role of the Ophthalmologist in Uzbekistan Tashkent</w:t>
      </w:r>
    </w:p>
    <w:p>
      <w:pPr>
        <w:pStyle w:val="FirstParagraph"/>
      </w:pPr>
      <w:r>
        <w:t xml:space="preserve">Bridging Traditional Care with Modern Ophthalmic Innovation in Central Asia</w:t>
      </w:r>
    </w:p>
    <w:p>
      <w:r>
        <w:pict>
          <v:rect style="width:0;height:1.5pt" o:hralign="center" o:hrstd="t" o:hr="t"/>
        </w:pict>
      </w:r>
    </w:p>
    <w:p>
      <w:pPr>
        <w:pStyle w:val="FirstParagraph"/>
      </w:pPr>
      <w:r>
        <w:rPr>
          <w:bCs/>
          <w:b/>
        </w:rPr>
        <w:t xml:space="preserve">Author:</w:t>
      </w:r>
      <w:r>
        <w:t xml:space="preserve"> </w:t>
      </w:r>
      <w:r>
        <w:t xml:space="preserve">Academic Research Initiative on Central Asian Health Systems</w:t>
      </w:r>
      <w:r>
        <w:br/>
      </w:r>
      <w:r>
        <w:rPr>
          <w:bCs/>
          <w:b/>
        </w:rPr>
        <w:t xml:space="preserve">Institution:</w:t>
      </w:r>
      <w:r>
        <w:t xml:space="preserve"> </w:t>
      </w:r>
      <w:r>
        <w:t xml:space="preserve">International Institute for Medical Studies</w:t>
      </w:r>
    </w:p>
    <w:bookmarkEnd w:id="20"/>
    <w:bookmarkStart w:id="21" w:name="introduction"/>
    <w:p>
      <w:pPr>
        <w:pStyle w:val="Heading2"/>
      </w:pPr>
      <w:r>
        <w:t xml:space="preserve">Introduction</w:t>
      </w:r>
    </w:p>
    <w:p>
      <w:pPr>
        <w:pStyle w:val="FirstParagraph"/>
      </w:pPr>
      <w:r>
        <w:t xml:space="preserve">The landscape of healthcare in Central Asia is undergoing a profound transformation. Nowhere is this more evident than in the field of ophthalmology within the capital city of Uzbekistan Tashkent. As a major urban center hosting over 2.5 million residents, Tashkent serves as the medical hub for the entire nation. The role of the</w:t>
      </w:r>
      <w:r>
        <w:t xml:space="preserve"> </w:t>
      </w:r>
      <w:r>
        <w:rPr>
          <w:bCs/>
          <w:b/>
        </w:rPr>
        <w:t xml:space="preserve">Ophthalmologist</w:t>
      </w:r>
      <w:r>
        <w:t xml:space="preserve"> </w:t>
      </w:r>
      <w:r>
        <w:t xml:space="preserve">has expanded significantly beyond basic vision correction to encompass complex surgical interventions, public health policy implementation, and advanced research in degenerative eye diseases.</w:t>
      </w:r>
    </w:p>
    <w:p>
      <w:pPr>
        <w:pStyle w:val="BodyText"/>
      </w:pPr>
      <w:r>
        <w:t xml:space="preserve">This poster presentation outlines the current status, challenges, and future directions of ophthalmic care in Uzbekistan Tashkent. It highlights how modernization efforts are addressing the burden of preventable blindness while integrating state-of-the-art technology into clinical practice. The focus remains on ensuring that every patient in this dynamic metropolis has access to high-quality, affordable eye care services.</w:t>
      </w:r>
    </w:p>
    <w:bookmarkEnd w:id="21"/>
    <w:bookmarkStart w:id="22" w:name="X9b07244ce22bf7c286e8bce0710939a8dbda04d"/>
    <w:p>
      <w:pPr>
        <w:pStyle w:val="Heading2"/>
      </w:pPr>
      <w:r>
        <w:t xml:space="preserve">Historical Context and Demographic Challenges</w:t>
      </w:r>
    </w:p>
    <w:p>
      <w:pPr>
        <w:pStyle w:val="FirstParagraph"/>
      </w:pPr>
      <w:r>
        <w:t xml:space="preserve">Historically, the healthcare system in Uzbekistan Tashkent relied heavily on Soviet-era infrastructure. While this provided a baseline for medical education and hospital availability, it often lagged in terms of technological adoption and specialized training for complex cases. Today, the demographic profile of the city presents unique challenges. An aging population contributes to a rising prevalence of age-related macular degeneration (AMD), diabetic retinopathy, and glaucoma.</w:t>
      </w:r>
    </w:p>
    <w:p>
      <w:pPr>
        <w:pStyle w:val="BodyText"/>
      </w:pPr>
      <w:r>
        <w:t xml:space="preserve">Furthermore, as an</w:t>
      </w:r>
      <w:r>
        <w:t xml:space="preserve"> </w:t>
      </w:r>
      <w:r>
        <w:rPr>
          <w:bCs/>
          <w:b/>
        </w:rPr>
        <w:t xml:space="preserve">Ophthalmologist</w:t>
      </w:r>
      <w:r>
        <w:t xml:space="preserve">, it is crucial to address the specific epidemiological trends in Uzbekistan Tashkent. Cataracts remain a leading cause of visual impairment, yet they are highly treatable. The gap between demand and supply for specialized surgical services has been narrowing due to recent government reforms and international partnerships aimed at upgrading facilities in Tashkent’s premier hospitals.</w:t>
      </w:r>
    </w:p>
    <w:bookmarkEnd w:id="22"/>
    <w:bookmarkStart w:id="23" w:name="X9889f242c39434eeb1a295302eeb3145086e993"/>
    <w:p>
      <w:pPr>
        <w:pStyle w:val="Heading2"/>
      </w:pPr>
      <w:r>
        <w:t xml:space="preserve">Clinical Focus Areas for the Modern Ophthalmologist</w:t>
      </w:r>
    </w:p>
    <w:p>
      <w:pPr>
        <w:pStyle w:val="FirstParagraph"/>
      </w:pPr>
      <w:r>
        <w:rPr>
          <w:bCs/>
          <w:b/>
        </w:rPr>
        <w:t xml:space="preserve">The Core Mandate:</w:t>
      </w:r>
      <w:r>
        <w:t xml:space="preserve"> </w:t>
      </w:r>
      <w:r>
        <w:t xml:space="preserve">To effectively serve the population of Uzbekistan Tashkent, the contemporary Ophthalmologist must master three critical domains:</w:t>
      </w:r>
    </w:p>
    <w:p>
      <w:pPr>
        <w:numPr>
          <w:ilvl w:val="0"/>
          <w:numId w:val="1001"/>
        </w:numPr>
        <w:pStyle w:val="Compact"/>
      </w:pPr>
      <w:r>
        <w:rPr>
          <w:bCs/>
          <w:b/>
        </w:rPr>
        <w:t xml:space="preserve">Surgical Excellence in Cataract Management:</w:t>
      </w:r>
      <w:r>
        <w:t xml:space="preserve"> </w:t>
      </w:r>
      <w:r>
        <w:t xml:space="preserve">With high rates of cataract formation due to environmental factors and aging, precision surgery is paramount. Ophthalmologists in Tashkent are increasingly adopting phacoemulsification techniques, which offer faster recovery times and better visual outcomes compared to older methods.</w:t>
      </w:r>
    </w:p>
    <w:p>
      <w:pPr>
        <w:numPr>
          <w:ilvl w:val="0"/>
          <w:numId w:val="1001"/>
        </w:numPr>
        <w:pStyle w:val="Compact"/>
      </w:pPr>
      <w:r>
        <w:rPr>
          <w:bCs/>
          <w:b/>
        </w:rPr>
        <w:t xml:space="preserve">Diabetic Retinopathy Screening:</w:t>
      </w:r>
      <w:r>
        <w:t xml:space="preserve"> </w:t>
      </w:r>
      <w:r>
        <w:t xml:space="preserve">As the prevalence of Type 2 diabetes rises in Uzbekistan Tashkent, early detection by an Ophthalmologist is vital. The integration of retinal imaging technology allows for proactive management before vision loss occurs.</w:t>
      </w:r>
    </w:p>
    <w:p>
      <w:pPr>
        <w:numPr>
          <w:ilvl w:val="0"/>
          <w:numId w:val="1001"/>
        </w:numPr>
        <w:pStyle w:val="Compact"/>
      </w:pPr>
      <w:r>
        <w:rPr>
          <w:bCs/>
          <w:b/>
        </w:rPr>
        <w:t xml:space="preserve">Pediatric Ophthalmology and Strabismus Correction:</w:t>
      </w:r>
      <w:r>
        <w:t xml:space="preserve"> </w:t>
      </w:r>
      <w:r>
        <w:t xml:space="preserve">Early intervention is critical for children’s development. Specialists in Tashkent are focusing on reducing the stigma associated with eye surgery in children, ensuring that refractive errors and misalignments are corrected during critical developmental windows.</w:t>
      </w:r>
    </w:p>
    <w:bookmarkEnd w:id="23"/>
    <w:bookmarkStart w:id="24" w:name="X708354f101154f2cc732bf481643a41d2136d1f"/>
    <w:p>
      <w:pPr>
        <w:pStyle w:val="Heading2"/>
      </w:pPr>
      <w:r>
        <w:t xml:space="preserve">Technological Advancements in Uzbekistan Tashkent</w:t>
      </w:r>
    </w:p>
    <w:p>
      <w:pPr>
        <w:pStyle w:val="FirstParagraph"/>
      </w:pPr>
      <w:r>
        <w:t xml:space="preserve">The city of Uzbekistan Tashkent has seen a surge in the establishment of private eye clinics alongside public hospitals. This dual system is fostering competition and innovation. Modern diagnostic tools such as Optical Coherence Tomography (OCT), fundus photography, and automated perimetry are now standard equipment for an Ophthalmologist practicing in the capital.</w:t>
      </w:r>
    </w:p>
    <w:p>
      <w:pPr>
        <w:pStyle w:val="BodyText"/>
      </w:pPr>
      <w:r>
        <w:t xml:space="preserve">Moreover, telemedicine initiatives are beginning to link ophthalmologists in Tashkent with specialists in rural regions of Uzbekistan. This digital connectivity ensures that patients from remote areas can receive expert opinions without immediate travel, thereby democratizing access to elite medical expertise. The Ophthalmologist of today is not just a surgeon but also a coordinator of care across broader geographical networks.</w:t>
      </w:r>
    </w:p>
    <w:bookmarkEnd w:id="24"/>
    <w:bookmarkStart w:id="25" w:name="education-and-professional-development"/>
    <w:p>
      <w:pPr>
        <w:pStyle w:val="Heading2"/>
      </w:pPr>
      <w:r>
        <w:t xml:space="preserve">Education and Professional Development</w:t>
      </w:r>
    </w:p>
    <w:p>
      <w:pPr>
        <w:pStyle w:val="FirstParagraph"/>
      </w:pPr>
      <w:r>
        <w:t xml:space="preserve">A critical pillar of the healthcare system in Uzbekistan Tashkent is continuous professional development. Local medical universities are updating their curricula to align with international standards set by organizations such as the World Health Organization (WHO) and the International Agency for the Prevention of Blindness (IAPB).</w:t>
      </w:r>
    </w:p>
    <w:p>
      <w:pPr>
        <w:pStyle w:val="BodyText"/>
      </w:pPr>
      <w:r>
        <w:t xml:space="preserve">Workshops, conferences, and hands-on training sessions are frequently held in Tashkent to update Ophthalmologists on emerging treatments. These educational opportunities often feature international experts who collaborate with local practitioners. This exchange of knowledge is essential for maintaining high standards of care and ensuring that the skills of an Ophthalmologist remain current in a rapidly evolving medical landscape.</w:t>
      </w:r>
    </w:p>
    <w:bookmarkEnd w:id="25"/>
    <w:bookmarkStart w:id="26" w:name="challenges-and-barriers-to-access"/>
    <w:p>
      <w:pPr>
        <w:pStyle w:val="Heading2"/>
      </w:pPr>
      <w:r>
        <w:t xml:space="preserve">Challenges and Barriers to Access</w:t>
      </w:r>
    </w:p>
    <w:p>
      <w:pPr>
        <w:pStyle w:val="FirstParagraph"/>
      </w:pPr>
      <w:r>
        <w:t xml:space="preserve">Despite significant progress, challenges remain. Economic disparities can limit access to premium care for lower-income families in Uzbekistan Tashkent. Additionally, there is a need for greater public awareness regarding eye health prevention. Many patients present late in the disease process due to a lack of understanding about early symptoms of glaucoma or diabetic retinopathy.</w:t>
      </w:r>
    </w:p>
    <w:p>
      <w:pPr>
        <w:pStyle w:val="BodyText"/>
      </w:pPr>
      <w:r>
        <w:t xml:space="preserve">Therefore, the role of an Ophthalmologist extends beyond treatment to include patient education and advocacy. Public health campaigns led by eye care specialists are necessary to promote regular eye exams and healthy lifestyle choices that protect vision. Addressing these social determinants of health is crucial for the long-term success of ophthalmic services in Uzbekistan Tashkent.</w:t>
      </w:r>
    </w:p>
    <w:bookmarkEnd w:id="26"/>
    <w:bookmarkStart w:id="27" w:name="conclusion"/>
    <w:p>
      <w:pPr>
        <w:pStyle w:val="Heading2"/>
      </w:pPr>
      <w:r>
        <w:t xml:space="preserve">Conclusion</w:t>
      </w:r>
    </w:p>
    <w:p>
      <w:pPr>
        <w:pStyle w:val="FirstParagraph"/>
      </w:pPr>
      <w:r>
        <w:t xml:space="preserve">In conclusion, the practice of ophthalmology in Uzbekistan Tashkent is at a pivotal moment. The integration of advanced technology, improved surgical techniques, and enhanced educational frameworks has elevated the standard of care. The modern Ophthalmologist in this region plays a multifaceted role—acting as surgeon, educator, public health advocate, and researcher.</w:t>
      </w:r>
    </w:p>
    <w:p>
      <w:pPr>
        <w:pStyle w:val="BodyText"/>
      </w:pPr>
      <w:r>
        <w:t xml:space="preserve">By continuing to strengthen partnerships between public institutions and private entities, Uzbekistan Tashkent can ensure that high-quality eye care remains accessible to all citizens. Future research should focus on long-term outcomes of new surgical techniques and the effectiveness of telemedicine in expanding reach. Ultimately, the commitment of Ophthalmologists in Uzbekistan Tashkent is vital for preserving vision and improving the quality of life for millions across Central Asia.</w:t>
      </w:r>
    </w:p>
    <w:bookmarkEnd w:id="27"/>
    <w:bookmarkStart w:id="28" w:name="references"/>
    <w:p>
      <w:pPr>
        <w:pStyle w:val="Heading2"/>
      </w:pPr>
      <w:r>
        <w:t xml:space="preserve">References</w:t>
      </w:r>
    </w:p>
    <w:p>
      <w:pPr>
        <w:numPr>
          <w:ilvl w:val="0"/>
          <w:numId w:val="1002"/>
        </w:numPr>
        <w:pStyle w:val="Compact"/>
      </w:pPr>
      <w:r>
        <w:t xml:space="preserve">World Health Organization (WHO). (2023). Global Report on Vision Care and Accessibility.</w:t>
      </w:r>
    </w:p>
    <w:p>
      <w:pPr>
        <w:numPr>
          <w:ilvl w:val="0"/>
          <w:numId w:val="1002"/>
        </w:numPr>
        <w:pStyle w:val="Compact"/>
      </w:pPr>
      <w:r>
        <w:t xml:space="preserve">Government of Uzbekistan. (2024). National Healthcare Strategy for the Development of Ophthalmology Services.</w:t>
      </w:r>
    </w:p>
    <w:p>
      <w:pPr>
        <w:numPr>
          <w:ilvl w:val="0"/>
          <w:numId w:val="1002"/>
        </w:numPr>
        <w:pStyle w:val="Compact"/>
      </w:pPr>
      <w:r>
        <w:t xml:space="preserve">IAPB. (2023). The Burden of Preventable Blindness in Central Asia: A Regional Analysis.</w:t>
      </w:r>
    </w:p>
    <w:p>
      <w:pPr>
        <w:numPr>
          <w:ilvl w:val="0"/>
          <w:numId w:val="1002"/>
        </w:numPr>
        <w:pStyle w:val="Compact"/>
      </w:pPr>
      <w:r>
        <w:t xml:space="preserve">Tashkent Medical Academy Journal. (2024). Advances in Phacoemulsification Techniques in Urban Hospitals.</w:t>
      </w:r>
    </w:p>
    <w:bookmarkEnd w:id="28"/>
    <w:p>
      <w:pPr>
        <w:pStyle w:val="FirstParagraph"/>
      </w:pPr>
      <w:r>
        <w:t xml:space="preserve">© 2024 Academic Poster Presentation Series. All Rights Reserved. | Focus Region: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Ophthalmologist in Uzbekistan Tashkent</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