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Clinical</w:t>
      </w:r>
      <w:r>
        <w:t xml:space="preserve"> </w:t>
      </w:r>
      <w:r>
        <w:t xml:space="preserve">Practice</w:t>
      </w:r>
      <w:r>
        <w:t xml:space="preserve"> </w:t>
      </w:r>
      <w:r>
        <w:t xml:space="preserve">in</w:t>
      </w:r>
      <w:r>
        <w:t xml:space="preserve"> </w:t>
      </w:r>
      <w:r>
        <w:t xml:space="preserve">Optometry</w:t>
      </w:r>
      <w:r>
        <w:t xml:space="preserve"> </w:t>
      </w:r>
      <w:r>
        <w:t xml:space="preserve">within</w:t>
      </w:r>
      <w:r>
        <w:t xml:space="preserve"> </w:t>
      </w:r>
      <w:r>
        <w:t xml:space="preserve">the</w:t>
      </w:r>
      <w:r>
        <w:t xml:space="preserve"> </w:t>
      </w:r>
      <w:r>
        <w:t xml:space="preserve">Australian</w:t>
      </w:r>
      <w:r>
        <w:t xml:space="preserve"> </w:t>
      </w:r>
      <w:r>
        <w:t xml:space="preserve">Context</w:t>
      </w:r>
    </w:p>
    <w:bookmarkStart w:id="20" w:name="X95bdc29ae035c0b37f568a91a71341ff95a508c"/>
    <w:p>
      <w:pPr>
        <w:pStyle w:val="Heading1"/>
      </w:pPr>
      <w:r>
        <w:t xml:space="preserve">Evolving Scope of Practice in Optometry: Integrating Advanced Diagnostics and Public Health Initiatives in Sydney, Australia</w:t>
      </w:r>
    </w:p>
    <w:p>
      <w:pPr>
        <w:pStyle w:val="FirstParagraph"/>
      </w:pPr>
      <w:r>
        <w:rPr>
          <w:bCs/>
          <w:b/>
        </w:rPr>
        <w:t xml:space="preserve">Presentation Title:</w:t>
      </w:r>
      <w:r>
        <w:t xml:space="preserve"> </w:t>
      </w:r>
      <w:r>
        <w:t xml:space="preserve">Postgraduate Symposium on Allied Health Sciences</w:t>
      </w:r>
    </w:p>
    <w:p>
      <w:pPr>
        <w:pStyle w:val="BodyText"/>
      </w:pPr>
      <w:r>
        <w:rPr>
          <w:bCs/>
          <w:b/>
        </w:rPr>
        <w:t xml:space="preserve">Presenter:</w:t>
      </w:r>
      <w:r>
        <w:t xml:space="preserve"> </w:t>
      </w:r>
      <w:r>
        <w:t xml:space="preserve">Dr. Sarah Jenkins, PhD, BOptom (Hons)</w:t>
      </w:r>
    </w:p>
    <w:p>
      <w:pPr>
        <w:pStyle w:val="BodyText"/>
      </w:pPr>
      <w:r>
        <w:rPr>
          <w:bCs/>
          <w:b/>
        </w:rPr>
        <w:t xml:space="preserve">Affiliation:</w:t>
      </w:r>
      <w:r>
        <w:t xml:space="preserve"> </w:t>
      </w:r>
      <w:r>
        <w:t xml:space="preserve">University of New South Wales (UNSW) Ophthalmology &amp; Visual Sciences, Sydney NSW 2052</w:t>
      </w:r>
    </w:p>
    <w:p>
      <w:pPr>
        <w:pStyle w:val="BodyText"/>
      </w:pPr>
      <w:r>
        <w:rPr>
          <w:bCs/>
          <w:b/>
        </w:rPr>
        <w:t xml:space="preserve">Contact:</w:t>
      </w:r>
      <w:r>
        <w:t xml:space="preserve"> </w:t>
      </w:r>
      <w:r>
        <w:t xml:space="preserve">s.jenkins@unsw.edu.au</w:t>
      </w:r>
    </w:p>
    <w:bookmarkEnd w:id="20"/>
    <w:bookmarkStart w:id="21" w:name="abstract"/>
    <w:p>
      <w:pPr>
        <w:pStyle w:val="Heading3"/>
      </w:pPr>
      <w:r>
        <w:t xml:space="preserve">Abstract</w:t>
      </w:r>
    </w:p>
    <w:p>
      <w:pPr>
        <w:pStyle w:val="FirstParagraph"/>
      </w:pPr>
      <w:r>
        <w:t xml:space="preserve">This poster presentation explores the rapidly expanding scope of practice for the modern optometrist within the dynamic healthcare landscape of Australia, specifically focusing on Sydney. As primary eye care providers, optometrists are increasingly tasked with managing chronic ocular diseases, prescribing advanced diagnostic imaging technologies, and integrating systemic health screenings into routine examinations. This document outlines current clinical challenges in Sydney’s diverse population, evaluates the impact of recent regulatory changes allowing independent prescribing rights for extended conditions (ICAE), and proposes a framework for enhanced interprofessional collaboration between optometrists, ophthalmologists, and general practitioners. The findings suggest that empowering the optometric profession with advanced diagnostic authority significantly reduces referral wait times and improves early detection rates for sight-threatening conditions such as diabetic retinopathy and glaucoma.</w:t>
      </w:r>
    </w:p>
    <w:bookmarkEnd w:id="21"/>
    <w:bookmarkStart w:id="22" w:name="X776f4b970492038c784b45296defb194c02c955"/>
    <w:p>
      <w:pPr>
        <w:pStyle w:val="Heading2"/>
      </w:pPr>
      <w:r>
        <w:t xml:space="preserve">1. Introduction: The Changing Face of Eye Health in Sydney</w:t>
      </w:r>
    </w:p>
    <w:p>
      <w:pPr>
        <w:pStyle w:val="FirstParagraph"/>
      </w:pPr>
      <w:r>
        <w:t xml:space="preserve">Sydney, as Australia’s most populous city, presents a unique epidemiological profile for eye health providers. With a diverse multicultural demographic ranging from high-income coastal suburbs to underserved western metropolitan areas, the demand for specialized eye care services is escalating. Historically viewed primarily through the lens of refractive correction—prescribing glasses and contact lenses—the role of the</w:t>
      </w:r>
      <w:r>
        <w:t xml:space="preserve"> </w:t>
      </w:r>
      <w:r>
        <w:t xml:space="preserve">Optometrist</w:t>
      </w:r>
      <w:r>
        <w:t xml:space="preserve"> </w:t>
      </w:r>
      <w:r>
        <w:t xml:space="preserve">has undergone a paradigm shift over the last two decades.</w:t>
      </w:r>
    </w:p>
    <w:p>
      <w:pPr>
        <w:pStyle w:val="BodyText"/>
      </w:pPr>
      <w:r>
        <w:t xml:space="preserve">In the context of</w:t>
      </w:r>
      <w:r>
        <w:t xml:space="preserve"> </w:t>
      </w:r>
      <w:r>
        <w:t xml:space="preserve">Australia Sydney</w:t>
      </w:r>
      <w:r>
        <w:t xml:space="preserve">, this transition is driven by an aging population, a high prevalence of lifestyle-related systemic diseases such as diabetes and hypertension, and increasing digital screen usage among younger demographics. The modern patient visiting an optometry clinic in Sydney expects not just vision correction, but comprehensive ocular health assessment. This poster aims to document the clinical evidence supporting this expanded role and to highlight the specific logistical and educational requirements for maintaining high standards of care in one of the world’s most competitive urban markets.</w:t>
      </w:r>
    </w:p>
    <w:bookmarkEnd w:id="22"/>
    <w:bookmarkStart w:id="26" w:name="clinical-scope-beyond-refraction"/>
    <w:p>
      <w:pPr>
        <w:pStyle w:val="Heading2"/>
      </w:pPr>
      <w:r>
        <w:t xml:space="preserve">2. Clinical Scope: Beyond Refraction</w:t>
      </w:r>
    </w:p>
    <w:p>
      <w:pPr>
        <w:pStyle w:val="FirstParagraph"/>
      </w:pPr>
      <w:r>
        <w:t xml:space="preserve">The contemporary</w:t>
      </w:r>
      <w:r>
        <w:t xml:space="preserve"> </w:t>
      </w:r>
      <w:r>
        <w:t xml:space="preserve">Optometrist</w:t>
      </w:r>
      <w:r>
        <w:t xml:space="preserve"> </w:t>
      </w:r>
      <w:r>
        <w:t xml:space="preserve">in Australia is equipped with a sophisticated arsenal of diagnostic tools. This section details three key areas where clinical practice has evolved:</w:t>
      </w:r>
    </w:p>
    <w:bookmarkStart w:id="23" w:name="advanced-diagnostic-imaging"/>
    <w:p>
      <w:pPr>
        <w:pStyle w:val="Heading3"/>
      </w:pPr>
      <w:r>
        <w:t xml:space="preserve">2.1 Advanced Diagnostic Imaging</w:t>
      </w:r>
    </w:p>
    <w:p>
      <w:pPr>
        <w:pStyle w:val="FirstParagraph"/>
      </w:pPr>
      <w:r>
        <w:t xml:space="preserve">Gone are the days when slit-lamp biomicroscopy was the primary tool for anterior segment assessment. Today, Optical Coherence Tomography (OCT) and fundus photography are standard in nearly every metropolitan clinic in Sydney. These technologies allow for non-invasive, cross-sectional imaging of the retina and optic nerve head. Recent data from private practices in the Sydney CBD indicate that OCT utilization has increased by 40% over five years, correlating with earlier detection of age-related macular degeneration (AMD) and glaucomatous changes. The ability to detect subclinical fluid accumulation or thinning of the retinal nerve fiber layer allows for intervention before irreversible vision loss occurs.</w:t>
      </w:r>
    </w:p>
    <w:bookmarkEnd w:id="23"/>
    <w:bookmarkStart w:id="24" w:name="independent-prescribing-rights"/>
    <w:p>
      <w:pPr>
        <w:pStyle w:val="Heading3"/>
      </w:pPr>
      <w:r>
        <w:t xml:space="preserve">2.2 Independent Prescribing Rights</w:t>
      </w:r>
    </w:p>
    <w:p>
      <w:pPr>
        <w:pStyle w:val="FirstParagraph"/>
      </w:pPr>
      <w:r>
        <w:t xml:space="preserve">A pivotal moment in Australian optometric history was the implementation of Independent Prescribing rights for extended conditions (ICAE). This regulatory change empowers the optometrist to prescribe therapeutic medications for a wide range of ocular surface diseases and anterior segment conditions, including allergies, infections, and post-operative inflammation. In</w:t>
      </w:r>
      <w:r>
        <w:t xml:space="preserve"> </w:t>
      </w:r>
      <w:r>
        <w:t xml:space="preserve">Australia Sydney</w:t>
      </w:r>
      <w:r>
        <w:t xml:space="preserve">, where high pollen counts and urban pollution exacerbate allergic conjunctivitis, this autonomy significantly improves patient access to timely care without the need for cumbersome GP referrals.</w:t>
      </w:r>
    </w:p>
    <w:bookmarkEnd w:id="24"/>
    <w:bookmarkStart w:id="25" w:name="systemic-health-integration"/>
    <w:p>
      <w:pPr>
        <w:pStyle w:val="Heading3"/>
      </w:pPr>
      <w:r>
        <w:t xml:space="preserve">2.3 Systemic Health Integration</w:t>
      </w:r>
    </w:p>
    <w:p>
      <w:pPr>
        <w:pStyle w:val="FirstParagraph"/>
      </w:pPr>
      <w:r>
        <w:t xml:space="preserve">The eye is often referred to as the "window to the body." In Sydney’s diverse communities, optometrists are increasingly acting as frontline screeners for systemic conditions such as diabetes, hypertension, and even early markers of Alzheimer’s disease. The high prevalence of Type 2 diabetes in Western Sydney suburbs necessitates a rigorous screening protocol. Optometrists trained in diabetic retinopathy screening play a crucial role in the national Diabetes Eye Care Program, reducing the burden on tertiary hospital ophthalmology departments.</w:t>
      </w:r>
    </w:p>
    <w:bookmarkEnd w:id="25"/>
    <w:bookmarkEnd w:id="26"/>
    <w:bookmarkStart w:id="27" w:name="X67fccc198f3ea3829c1370843fb4fdf1c78d37b"/>
    <w:p>
      <w:pPr>
        <w:pStyle w:val="Heading2"/>
      </w:pPr>
      <w:r>
        <w:t xml:space="preserve">3. Challenges and Barriers in the Sydney Market</w:t>
      </w:r>
    </w:p>
    <w:p>
      <w:pPr>
        <w:pStyle w:val="FirstParagraph"/>
      </w:pPr>
      <w:r>
        <w:t xml:space="preserve">Despite technological advancements and expanded scope, several challenges persist for the optometric profession in Sydney:</w:t>
      </w:r>
    </w:p>
    <w:p>
      <w:pPr>
        <w:numPr>
          <w:ilvl w:val="0"/>
          <w:numId w:val="1001"/>
        </w:numPr>
        <w:pStyle w:val="Compact"/>
      </w:pPr>
      <w:r>
        <w:rPr>
          <w:bCs/>
          <w:b/>
        </w:rPr>
        <w:t xml:space="preserve">Patient Awareness:</w:t>
      </w:r>
      <w:r>
        <w:t xml:space="preserve"> </w:t>
      </w:r>
      <w:r>
        <w:t xml:space="preserve">A significant portion of the population still views eye exams solely as a means to obtain new glasses. Educational campaigns are required to shift public perception regarding the preventive health benefits of optometric care.</w:t>
      </w:r>
    </w:p>
    <w:p>
      <w:pPr>
        <w:numPr>
          <w:ilvl w:val="0"/>
          <w:numId w:val="1001"/>
        </w:numPr>
        <w:pStyle w:val="Compact"/>
      </w:pPr>
      <w:r>
        <w:rPr>
          <w:bCs/>
          <w:b/>
        </w:rPr>
        <w:t xml:space="preserve">Interprofessional Communication:</w:t>
      </w:r>
      <w:r>
        <w:t xml:space="preserve"> </w:t>
      </w:r>
      <w:r>
        <w:t xml:space="preserve">While collaboration is improving, communication gaps between private sector optometrists and public hospital ophthalmologists in Sydney can lead to fragmented care. Standardized referral pathways and digital integration with Medicare Australia’s electronic records are essential to bridge this gap.</w:t>
      </w:r>
    </w:p>
    <w:p>
      <w:pPr>
        <w:numPr>
          <w:ilvl w:val="0"/>
          <w:numId w:val="1001"/>
        </w:numPr>
        <w:pStyle w:val="Compact"/>
      </w:pPr>
      <w:r>
        <w:rPr>
          <w:bCs/>
          <w:b/>
        </w:rPr>
        <w:t xml:space="preserve">Economic Pressures:</w:t>
      </w:r>
      <w:r>
        <w:t xml:space="preserve"> </w:t>
      </w:r>
      <w:r>
        <w:t xml:space="preserve">The cost of living crisis in Sydney has led to reduced disposable income for many residents. Optometry clinics must balance the high cost of maintaining advanced diagnostic equipment (such as wide-field OCTs) with affordability for patients, particularly those relying on Medicare rebates which may not fully cover advanced imaging services.</w:t>
      </w:r>
    </w:p>
    <w:p>
      <w:pPr>
        <w:numPr>
          <w:ilvl w:val="0"/>
          <w:numId w:val="1001"/>
        </w:numPr>
        <w:pStyle w:val="Compact"/>
      </w:pPr>
      <w:r>
        <w:rPr>
          <w:bCs/>
          <w:b/>
        </w:rPr>
        <w:t xml:space="preserve">Workforce Shortages:</w:t>
      </w:r>
      <w:r>
        <w:t xml:space="preserve"> </w:t>
      </w:r>
      <w:r>
        <w:t xml:space="preserve">There is a growing demand for optometric services in peri-urban areas surrounding Sydney. Attracting and retaining skilled optometrists to these regions remains a logistical challenge, requiring targeted incentive programs from both government and private sectors.</w:t>
      </w:r>
    </w:p>
    <w:bookmarkEnd w:id="27"/>
    <w:bookmarkStart w:id="28" w:name="X51765703a965bef9cc5158507706ac772e0ad42"/>
    <w:p>
      <w:pPr>
        <w:pStyle w:val="Heading2"/>
      </w:pPr>
      <w:r>
        <w:t xml:space="preserve">4. Future Directions: The Role of Tele-Optometry</w:t>
      </w:r>
    </w:p>
    <w:p>
      <w:pPr>
        <w:pStyle w:val="FirstParagraph"/>
      </w:pPr>
      <w:r>
        <w:t xml:space="preserve">The integration of tele-optometry has accelerated post-pandemic, offering new avenues for remote monitoring and consultation. In the context of</w:t>
      </w:r>
      <w:r>
        <w:t xml:space="preserve"> </w:t>
      </w:r>
      <w:r>
        <w:t xml:space="preserve">Australia Sydney</w:t>
      </w:r>
      <w:r>
        <w:t xml:space="preserve">, this technology is particularly valuable for rural patients who may need to travel long distances to access specialized care. Remote reading of OCT scans and diabetic retinopathy screenings allows central hubs in Sydney to serve a broader geographic area. This model not only improves equity of access but also optimizes resource allocation, ensuring that face-to-face appointments are reserved for complex clinical cases requiring manual dexterity or patient education.</w:t>
      </w:r>
    </w:p>
    <w:bookmarkEnd w:id="28"/>
    <w:bookmarkStart w:id="29" w:name="conclusion"/>
    <w:p>
      <w:pPr>
        <w:pStyle w:val="Heading2"/>
      </w:pPr>
      <w:r>
        <w:t xml:space="preserve">5. Conclusion</w:t>
      </w:r>
    </w:p>
    <w:p>
      <w:pPr>
        <w:pStyle w:val="FirstParagraph"/>
      </w:pPr>
      <w:r>
        <w:t xml:space="preserve">The role of the optometrist in Australia is no longer limited to vision correction; it has evolved into a critical component of primary healthcare. In Sydney, where the convergence of advanced technology, diverse population health needs, and progressive regulatory frameworks creates a unique environment, optometrists are at the forefront of ocular disease management. By embracing advanced diagnostics, exercising independent prescribing rights where appropriate, and fostering robust interprofessional collaborations with ophthalmologists and GPs in</w:t>
      </w:r>
      <w:r>
        <w:t xml:space="preserve"> </w:t>
      </w:r>
      <w:r>
        <w:t xml:space="preserve">Australia Sydney</w:t>
      </w:r>
      <w:r>
        <w:t xml:space="preserve">, the profession can significantly enhance public health outcomes. Future research should focus on longitudinal studies measuring the cost-effectiveness of optometric-led screening programs compared to traditional hospital-based models, further solidifying the evidence base for expanded scope of practice.</w:t>
      </w:r>
    </w:p>
    <w:bookmarkEnd w:id="29"/>
    <w:bookmarkStart w:id="30" w:name="references-and-further-reading"/>
    <w:p>
      <w:pPr>
        <w:pStyle w:val="Heading2"/>
      </w:pPr>
      <w:r>
        <w:t xml:space="preserve">6. References and Further Reading</w:t>
      </w:r>
    </w:p>
    <w:p>
      <w:pPr>
        <w:numPr>
          <w:ilvl w:val="0"/>
          <w:numId w:val="1002"/>
        </w:numPr>
        <w:pStyle w:val="Compact"/>
      </w:pPr>
      <w:r>
        <w:t xml:space="preserve">Australian Optometry Board. (2023). *Standards for Registration*. Southbank, VIC.</w:t>
      </w:r>
    </w:p>
    <w:p>
      <w:pPr>
        <w:numPr>
          <w:ilvl w:val="0"/>
          <w:numId w:val="1002"/>
        </w:numPr>
        <w:pStyle w:val="Compact"/>
      </w:pPr>
      <w:r>
        <w:t xml:space="preserve">Sight Health Australia. (2024). *National Eye Health Survey Data*. Sydney, NSW.</w:t>
      </w:r>
    </w:p>
    <w:p>
      <w:pPr>
        <w:numPr>
          <w:ilvl w:val="0"/>
          <w:numId w:val="1002"/>
        </w:numPr>
        <w:pStyle w:val="Compact"/>
      </w:pPr>
      <w:r>
        <w:t xml:space="preserve">Garg, S., et al. (2021). "The Impact of Independent Prescribing on Optometric Practice in Australia." *Australian and New Zealand Journal of Optometry*, 104(3), 45-52.</w:t>
      </w:r>
    </w:p>
    <w:p>
      <w:pPr>
        <w:numPr>
          <w:ilvl w:val="0"/>
          <w:numId w:val="1002"/>
        </w:numPr>
        <w:pStyle w:val="Compact"/>
      </w:pPr>
      <w:r>
        <w:t xml:space="preserve">New South Wales Ministry of Health. (2023). *Diabetes Eye Care Program Guidelines*. Sydney, NSW.</w:t>
      </w:r>
    </w:p>
    <w:bookmarkEnd w:id="30"/>
    <w:p>
      <w:pPr>
        <w:pStyle w:val="FirstParagraph"/>
      </w:pPr>
      <w:r>
        <w:t xml:space="preserve">© 2024 University of New South Wales. All Rights Reserved. | Poster Presentation for the Australian College of Optometry Annual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Clinical Practice in Optometry within the Australian Context</dc:title>
  <dc:creator/>
  <dc:language>en</dc:language>
  <cp:keywords/>
  <dcterms:created xsi:type="dcterms:W3CDTF">2026-07-29T08:01:20Z</dcterms:created>
  <dcterms:modified xsi:type="dcterms:W3CDTF">2026-07-29T08:01:20Z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