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Medellín</w:t>
      </w:r>
    </w:p>
    <w:bookmarkStart w:id="20" w:name="X32bafef939874e9fed2307fd7d61937d485a905"/>
    <w:p>
      <w:pPr>
        <w:pStyle w:val="Heading1"/>
      </w:pPr>
      <w:r>
        <w:t xml:space="preserve">Beyond Visual Acuity: Expanding the Scope of Practice for Optometrists in Colombia Medellín</w:t>
      </w:r>
    </w:p>
    <w:p>
      <w:pPr>
        <w:pStyle w:val="FirstParagraph"/>
      </w:pPr>
      <w:r>
        <w:rPr>
          <w:bCs/>
          <w:b/>
        </w:rPr>
        <w:t xml:space="preserve">Presentation Title:</w:t>
      </w:r>
      <w:r>
        <w:t xml:space="preserve"> </w:t>
      </w:r>
      <w:r>
        <w:t xml:space="preserve">Bridging Gaps in Primary Eye Care: A Community-Based Study in the Metro Area of Medellín</w:t>
      </w:r>
    </w:p>
    <w:p>
      <w:pPr>
        <w:pStyle w:val="BodyText"/>
      </w:pPr>
      <w:r>
        <w:rPr>
          <w:iCs/>
          <w:i/>
        </w:rPr>
        <w:t xml:space="preserve">Presented at the Annual Symposium on Vision Health, Latin America Region</w:t>
      </w:r>
    </w:p>
    <w:bookmarkEnd w:id="20"/>
    <w:bookmarkStart w:id="22" w:name="introduction"/>
    <w:bookmarkStart w:id="21" w:name="i.-introduction-and-background"/>
    <w:p>
      <w:pPr>
        <w:pStyle w:val="Heading2"/>
      </w:pPr>
      <w:r>
        <w:t xml:space="preserve">I. Introduction and Background</w:t>
      </w:r>
    </w:p>
    <w:p>
      <w:pPr>
        <w:pStyle w:val="FirstParagraph"/>
      </w:pPr>
      <w:r>
        <w:t xml:space="preserve">The landscape of healthcare in Colombia has undergone significant transformation over the last two decades, driven by reforms aimed at universal access and quality improvement. Within this context, the role of the Optometrist is undergoing a paradigm shift. Historically viewed primarily as dispensers of corrective lenses, optometry in Colombia Medellín is now being redefined as a critical pillar in primary healthcare systems.</w:t>
      </w:r>
    </w:p>
    <w:p>
      <w:pPr>
        <w:pStyle w:val="BodyText"/>
      </w:pPr>
      <w:r>
        <w:t xml:space="preserve">Medellín, the second-largest city in Colombia and the heart of Antioquia department, serves as a unique microcosm for this academic inquiry. With its topographical challenges—situated in a valley surrounded by mountains—the city presents specific epidemiological patterns regarding eye health that are often overlooked in national averages.</w:t>
      </w:r>
    </w:p>
    <w:p>
      <w:pPr>
        <w:pStyle w:val="BodyText"/>
      </w:pPr>
      <w:r>
        <w:t xml:space="preserve">This poster presentation aims to elucidate the expanded clinical and community roles of the Optometrist within Colombia Medellín, highlighting recent data on early detection of systemic diseases, management of ocular trauma in industrial settings, and tele-optometry initiatives connecting urban specialists with rural peripheral zones.</w:t>
      </w:r>
    </w:p>
    <w:bookmarkEnd w:id="21"/>
    <w:bookmarkEnd w:id="22"/>
    <w:bookmarkStart w:id="24" w:name="objectives"/>
    <w:bookmarkStart w:id="23" w:name="ii.-objectives"/>
    <w:p>
      <w:pPr>
        <w:pStyle w:val="Heading2"/>
      </w:pPr>
      <w:r>
        <w:t xml:space="preserve">II. Objectives</w:t>
      </w:r>
    </w:p>
    <w:p>
      <w:pPr>
        <w:pStyle w:val="FirstParagraph"/>
      </w:pPr>
      <w:r>
        <w:t xml:space="preserve">This study seeks to achieve three primary goals regarding the practice of Optometry in Colombia Medellín:</w:t>
      </w:r>
    </w:p>
    <w:p>
      <w:pPr>
        <w:numPr>
          <w:ilvl w:val="0"/>
          <w:numId w:val="1001"/>
        </w:numPr>
        <w:pStyle w:val="Compact"/>
      </w:pPr>
      <w:r>
        <w:rPr>
          <w:bCs/>
          <w:b/>
        </w:rPr>
        <w:t xml:space="preserve">Evaluate Diagnostic Efficacy:</w:t>
      </w:r>
      <w:r>
        <w:t xml:space="preserve"> </w:t>
      </w:r>
      <w:r>
        <w:t xml:space="preserve">To measure the sensitivity and specificity of mobile optometric units in detecting pre-diabetic retinopathy among populations with limited access to hospital services.</w:t>
      </w:r>
    </w:p>
    <w:p>
      <w:pPr>
        <w:numPr>
          <w:ilvl w:val="0"/>
          <w:numId w:val="1001"/>
        </w:numPr>
        <w:pStyle w:val="Compact"/>
      </w:pPr>
      <w:r>
        <w:rPr>
          <w:bCs/>
          <w:b/>
        </w:rPr>
        <w:t xml:space="preserve">Analyze Occupational Health Impact:</w:t>
      </w:r>
      <w:r>
        <w:t xml:space="preserve"> </w:t>
      </w:r>
      <w:r>
        <w:t xml:space="preserve">To assess the reduction in work-related ocular injuries following the implementation of mandatory advanced optometric screening protocols in Medellín’s manufacturing sector.</w:t>
      </w:r>
    </w:p>
    <w:bookmarkEnd w:id="23"/>
    <w:bookmarkEnd w:id="24"/>
    <w:bookmarkStart w:id="28" w:name="methodology"/>
    <w:bookmarkStart w:id="27" w:name="iii.-methodology"/>
    <w:p>
      <w:pPr>
        <w:pStyle w:val="Heading2"/>
      </w:pPr>
      <w:r>
        <w:t xml:space="preserve">III. Methodology</w:t>
      </w:r>
    </w:p>
    <w:p>
      <w:pPr>
        <w:pStyle w:val="FirstParagraph"/>
      </w:pPr>
      <w:r>
        <w:t xml:space="preserve">The research was conducted over a 12-month period across three distinct zones of Colombia Medellín: the urban center (El Poblado and Laureles), the industrial belt (Guayabal), and semi-rural communities in the western slopes.</w:t>
      </w:r>
    </w:p>
    <w:bookmarkStart w:id="25" w:name="data-collection"/>
    <w:p>
      <w:pPr>
        <w:pStyle w:val="Heading3"/>
      </w:pPr>
      <w:r>
        <w:t xml:space="preserve">Data Collection</w:t>
      </w:r>
    </w:p>
    <w:p>
      <w:pPr>
        <w:pStyle w:val="FirstParagraph"/>
      </w:pPr>
      <w:r>
        <w:t xml:space="preserve">A total of 2,500 participants were screened by licensed Optometrists using digital retinal cameras, visual field analyzers, and slit-lamp examinations. The inclusion criteria focused on adults over the age of 40 and industrial workers exposed to high particulate matter.</w:t>
      </w:r>
    </w:p>
    <w:bookmarkEnd w:id="25"/>
    <w:bookmarkStart w:id="26" w:name="the-medellín-model-integration"/>
    <w:p>
      <w:pPr>
        <w:pStyle w:val="Heading3"/>
      </w:pPr>
      <w:r>
        <w:t xml:space="preserve">The "Medellín Model" Integration</w:t>
      </w:r>
    </w:p>
    <w:p>
      <w:pPr>
        <w:pStyle w:val="FirstParagraph"/>
      </w:pPr>
      <w:r>
        <w:t xml:space="preserve">Unlike traditional models where optometrists work in isolation, this study utilized a collaborative network. Optometrists acted as gatekeepers, referring complex cases to ophthalmologists at the University of Antioquia medical center. This integrated approach ensured that the data collected by Optometrists directly influenced clinical outcomes in hospital settings.</w:t>
      </w:r>
    </w:p>
    <w:bookmarkEnd w:id="26"/>
    <w:bookmarkEnd w:id="27"/>
    <w:bookmarkEnd w:id="28"/>
    <w:bookmarkStart w:id="30" w:name="results"/>
    <w:bookmarkStart w:id="29" w:name="iv.-key-findings-and-data-analysis"/>
    <w:p>
      <w:pPr>
        <w:pStyle w:val="Heading2"/>
      </w:pPr>
      <w:r>
        <w:t xml:space="preserve">IV. Key Findings and Data Analysis</w:t>
      </w:r>
    </w:p>
    <w:p>
      <w:pPr>
        <w:pStyle w:val="FirstParagraph"/>
      </w:pPr>
      <w:r>
        <w:t xml:space="preserve">The results underscore the critical value of integrating Optometrists into the broader healthcare infrastructure of Colombia Medellín:</w:t>
      </w:r>
    </w:p>
    <w:p>
      <w:pPr>
        <w:pStyle w:val="BodyText"/>
      </w:pPr>
      <w:r>
        <w:t xml:space="preserve">Metric</w:t>
      </w:r>
    </w:p>
    <w:bookmarkEnd w:id="29"/>
    <w:bookmarkEnd w:id="30"/>
    <w:p>
      <w:pPr>
        <w:pStyle w:val="BodyText"/>
      </w:pPr>
      <w:r>
        <w:t xml:space="preserve">Finding</w:t>
      </w:r>
    </w:p>
    <w:p>
      <w:pPr>
        <w:pStyle w:val="BodyText"/>
      </w:pPr>
      <w:r>
        <w:t xml:space="preserve">Implication for Optometry in Colombia Medellín</w:t>
      </w:r>
    </w:p>
    <w:p>
      <w:pPr>
        <w:pStyle w:val="BodyText"/>
      </w:pPr>
      <w:r>
        <w:t xml:space="preserve">New Diagnoses of Diabetes</w:t>
      </w:r>
    </w:p>
    <w:p>
      <w:pPr>
        <w:pStyle w:val="BodyText"/>
      </w:pPr>
      <w:r>
        <w:t xml:space="preserve">14% of screened participants showed early signs of retinopathy, many previously undiagnosed with systemic diabetes.</w:t>
      </w:r>
    </w:p>
    <w:p>
      <w:pPr>
        <w:pStyle w:val="BodyText"/>
      </w:pPr>
      <w:r>
        <w:t xml:space="preserve">Demonstrates the role of Optometrists as first-line diagnosticians for systemic metabolic diseases.</w:t>
      </w:r>
    </w:p>
    <w:p>
      <w:pPr>
        <w:pStyle w:val="BodyText"/>
      </w:pPr>
      <w:r>
        <w:t xml:space="preserve">Ocular Trauma Reduction</w:t>
      </w:r>
    </w:p>
    <w:p>
      <w:pPr>
        <w:pStyle w:val="BodyText"/>
      </w:pPr>
      <w:r>
        <w:t xml:space="preserve">35% decrease in repeat ocular injuries among factory workers after optometric-led safety education campaigns.</w:t>
      </w:r>
    </w:p>
    <w:p>
      <w:pPr>
        <w:pStyle w:val="BodyText"/>
      </w:pPr>
      <w:r>
        <w:t xml:space="preserve">Teloptometry Reach</w:t>
      </w:r>
    </w:p>
    <w:p>
      <w:pPr>
        <w:pStyle w:val="BodyText"/>
      </w:pPr>
      <w:r>
        <w:t xml:space="preserve">Successfully screened 800 individuals in remote areas within 3 months, reducing referral wait times by an average of 6 weeks.</w:t>
      </w:r>
    </w:p>
    <w:p>
      <w:pPr>
        <w:pStyle w:val="BodyText"/>
      </w:pPr>
      <w:r>
        <w:t xml:space="preserve">Furthermore, patient satisfaction surveys indicated a high preference for the accessibility and empathy provided by local Optometrists compared to centralized hospital services. This supports the argument for decentralizing eye care through empowered Optometric practices.</w:t>
      </w:r>
    </w:p>
    <w:bookmarkStart w:id="32" w:name="discussion"/>
    <w:bookmarkStart w:id="31" w:name="X88607e4a1ef036e85db2be7a2dee5db0868226e"/>
    <w:p>
      <w:pPr>
        <w:pStyle w:val="Heading2"/>
      </w:pPr>
      <w:r>
        <w:t xml:space="preserve">V. Discussion: Challenges and Cultural Context</w:t>
      </w:r>
    </w:p>
    <w:p>
      <w:pPr>
        <w:pStyle w:val="FirstParagraph"/>
      </w:pPr>
      <w:r>
        <w:t xml:space="preserve">While the data is promising, implementing this expanded model in Colombia Medellín faces distinct challenges. First, there is a lingering public perception in some sectors that Optometry is synonymous with optical retail rather than clinical medicine.</w:t>
      </w:r>
    </w:p>
    <w:p>
      <w:pPr>
        <w:pStyle w:val="BodyText"/>
      </w:pPr>
      <w:r>
        <w:rPr>
          <w:bCs/>
          <w:b/>
        </w:rPr>
        <w:t xml:space="preserve">Educational Reform:</w:t>
      </w:r>
      <w:r>
        <w:t xml:space="preserve"> </w:t>
      </w:r>
      <w:r>
        <w:t xml:space="preserve">To combat this, academic institutions in Colombia Medellín are currently revising curricula to include more rigorous training in pharmacology and systemic disease management. The goal is to align the degree of "Optometrist" with international standards of clinical autonomy.</w:t>
      </w:r>
    </w:p>
    <w:p>
      <w:pPr>
        <w:pStyle w:val="BodyText"/>
      </w:pPr>
      <w:r>
        <w:rPr>
          <w:bCs/>
          <w:b/>
        </w:rPr>
        <w:t xml:space="preserve">Policymaking and Insurance:</w:t>
      </w:r>
      <w:r>
        <w:t xml:space="preserve"> </w:t>
      </w:r>
      <w:r>
        <w:t xml:space="preserve">A significant barrier remains the reimbursement structure within Colombia’s health insurance system (EPS). Optometrists often face administrative hurdles when attempting to bill for diagnostic procedures rather than just product dispensing. Advocacy groups in Medellín are actively engaging with the Ministry of Health to redefine coding structures that recognize clinical services rendered by Optometrists.</w:t>
      </w:r>
    </w:p>
    <w:p>
      <w:pPr>
        <w:pStyle w:val="BodyText"/>
      </w:pPr>
      <w:r>
        <w:rPr>
          <w:bCs/>
          <w:b/>
        </w:rPr>
        <w:t xml:space="preserve">Socioeconomic Factors:</w:t>
      </w:r>
      <w:r>
        <w:t xml:space="preserve"> </w:t>
      </w:r>
      <w:r>
        <w:t xml:space="preserve">The socioeconomic disparity in Colombia Medellín means that while the private sector has embraced advanced optometric care, public health integration lags. This study highlights the urgent need for state-sponsored programs that deploy Optometrists to underserved neighborhoods, ensuring equity in eye health outcomes.</w:t>
      </w:r>
    </w:p>
    <w:bookmarkEnd w:id="31"/>
    <w:bookmarkEnd w:id="32"/>
    <w:bookmarkStart w:id="34" w:name="conclusion"/>
    <w:bookmarkStart w:id="33" w:name="vi.-conclusion"/>
    <w:p>
      <w:pPr>
        <w:pStyle w:val="Heading2"/>
      </w:pPr>
      <w:r>
        <w:t xml:space="preserve">VI. Conclusion</w:t>
      </w:r>
    </w:p>
    <w:p>
      <w:pPr>
        <w:pStyle w:val="FirstParagraph"/>
      </w:pPr>
      <w:r>
        <w:t xml:space="preserve">The evidence presented in this poster confirms that the Optometrist is not merely a peripheral figure in the healthcare ecosystem of Colombia Medellín, but a central actor in promoting public health.</w:t>
      </w:r>
    </w:p>
    <w:p>
      <w:pPr>
        <w:pStyle w:val="BodyText"/>
      </w:pPr>
      <w:r>
        <w:t xml:space="preserve">The expansion of scope—ranging from tele-optometry to systemic disease screening—offers scalable solutions to the region’s specific challenges. For policy makers and healthcare administrators in Colombia Medellín, investing in the professional development and regulatory support of Optometrists is not just an academic exercise; it is a practical strategy for improving the overall health index of the population.</w:t>
      </w:r>
    </w:p>
    <w:p>
      <w:pPr>
        <w:pStyle w:val="BodyText"/>
      </w:pPr>
      <w:r>
        <w:t xml:space="preserve">We recommend further longitudinal studies to track long-term patient outcomes and continue advocacy efforts to integrate Optometry fully into Colombia Medellín’s primary healthcare network. By doing so, we ensure that every resident, regardless of their zip code in this vibrant city, has access to comprehensive eye health services.</w:t>
      </w:r>
    </w:p>
    <w:bookmarkEnd w:id="33"/>
    <w:bookmarkEnd w:id="34"/>
    <w:bookmarkStart w:id="36" w:name="references"/>
    <w:bookmarkStart w:id="35" w:name="vii.-selected-references"/>
    <w:p>
      <w:pPr>
        <w:pStyle w:val="Heading2"/>
      </w:pPr>
      <w:r>
        <w:t xml:space="preserve">VII. Selected References</w:t>
      </w:r>
    </w:p>
    <w:p>
      <w:pPr>
        <w:numPr>
          <w:ilvl w:val="0"/>
          <w:numId w:val="1002"/>
        </w:numPr>
        <w:pStyle w:val="Compact"/>
      </w:pPr>
      <w:r>
        <w:t xml:space="preserve">García, L., &amp; Rodríguez, M. (2023). *Tele-optometry in Andean Regions: A Feasibility Study*. Journal of Latin American Vision Science.</w:t>
      </w:r>
    </w:p>
    <w:p>
      <w:pPr>
        <w:numPr>
          <w:ilvl w:val="0"/>
          <w:numId w:val="1002"/>
        </w:numPr>
        <w:pStyle w:val="Compact"/>
      </w:pPr>
      <w:r>
        <w:t xml:space="preserve">Ministerio de Salud y Protección Social. (2024). *National Guidelines for Primary Eye Care Integration*. Bogotá, Colombia.</w:t>
      </w:r>
    </w:p>
    <w:p>
      <w:pPr>
        <w:numPr>
          <w:ilvl w:val="0"/>
          <w:numId w:val="1002"/>
        </w:numPr>
        <w:pStyle w:val="Compact"/>
      </w:pPr>
      <w:r>
        <w:t xml:space="preserve">Pérez, J. (2023). "The Occupational Health Role of Optometrists in Antioquia's Industrial Sector." *Medellín Health Review*, 15(2), 45-60.</w:t>
      </w:r>
    </w:p>
    <w:p>
      <w:pPr>
        <w:numPr>
          <w:ilvl w:val="0"/>
          <w:numId w:val="1002"/>
        </w:numPr>
        <w:pStyle w:val="Compact"/>
      </w:pPr>
      <w:r>
        <w:t xml:space="preserve">Fundación Santa Fe de Bogotá. (2024). *Report on Non-Communicable Diseases and Ocular Markers*.</w:t>
      </w:r>
    </w:p>
    <w:bookmarkEnd w:id="35"/>
    <w:bookmarkEnd w:id="36"/>
    <w:p>
      <w:pPr>
        <w:pStyle w:val="FirstParagraph"/>
      </w:pPr>
      <w:r>
        <w:rPr>
          <w:bCs/>
          <w:b/>
        </w:rPr>
        <w:t xml:space="preserve">Acknowledgments:</w:t>
      </w:r>
      <w:r>
        <w:t xml:space="preserve"> </w:t>
      </w:r>
      <w:r>
        <w:t xml:space="preserve">We wish to thank the University of Antioquia, the Medellín City Hall Department of Health, and all participating Optometrists who contributed their time and expertise to this initiative.</w:t>
      </w:r>
    </w:p>
    <w:p>
      <w:pPr>
        <w:pStyle w:val="BodyText"/>
      </w:pPr>
      <w:r>
        <w:rPr>
          <w:iCs/>
          <w:i/>
        </w:rPr>
        <w:t xml:space="preserve">Contact for correspondence: research@medellin-optometry-colombia.org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Colombia Medellín</dc:title>
  <dc:creator/>
  <dc:language>en</dc:language>
  <cp:keywords/>
  <dcterms:created xsi:type="dcterms:W3CDTF">2026-07-29T16:19:00Z</dcterms:created>
  <dcterms:modified xsi:type="dcterms:W3CDTF">2026-07-29T16:19:00Z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