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Berlin</w:t>
      </w:r>
    </w:p>
    <w:bookmarkStart w:id="20" w:name="bridging-vision-and-healthcare-policy"/>
    <w:p>
      <w:pPr>
        <w:pStyle w:val="Heading1"/>
      </w:pPr>
      <w:r>
        <w:t xml:space="preserve">Bridging Vision and Healthcare Policy</w:t>
      </w:r>
    </w:p>
    <w:p>
      <w:pPr>
        <w:pStyle w:val="FirstParagraph"/>
      </w:pPr>
      <w:r>
        <w:rPr>
          <w:bCs/>
          <w:b/>
        </w:rPr>
        <w:t xml:space="preserve">The Strategic Expansion of Optometry in Berlin, Germany</w:t>
      </w:r>
    </w:p>
    <w:p>
      <w:pPr>
        <w:pStyle w:val="BodyText"/>
      </w:pPr>
      <w:r>
        <w:rPr>
          <w:iCs/>
          <w:i/>
        </w:rPr>
        <w:t xml:space="preserve">A Presentation for the International Congress of Optical Science and Clinical Practice</w:t>
      </w:r>
    </w:p>
    <w:bookmarkEnd w:id="20"/>
    <w:bookmarkStart w:id="23" w:name="introduction-and-background"/>
    <w:p>
      <w:pPr>
        <w:pStyle w:val="Heading2"/>
      </w:pPr>
      <w:r>
        <w:t xml:space="preserve">1. Introduction and Background</w:t>
      </w:r>
    </w:p>
    <w:p>
      <w:pPr>
        <w:pStyle w:val="FirstParagraph"/>
      </w:pPr>
      <w:r>
        <w:t xml:space="preserve">In the rapidly evolving landscape of modern healthcare, the role of eye care professionals is undergoing a significant paradigm shift. This poster presentation focuses specifically on the critical context of Germany, with a concentrated case study on Berlin. As one of Europe's most dynamic medical hubs,</w:t>
      </w:r>
      <w:r>
        <w:t xml:space="preserve"> </w:t>
      </w:r>
      <w:r>
        <w:rPr>
          <w:bCs/>
          <w:b/>
        </w:rPr>
        <w:t xml:space="preserve">Germany Berlin</w:t>
      </w:r>
      <w:r>
        <w:t xml:space="preserve"> </w:t>
      </w:r>
      <w:r>
        <w:t xml:space="preserve">serves as an ideal laboratory for examining how traditional ophthalmology boundaries are being redefined by the emerging profession of the Optometrist.</w:t>
      </w:r>
    </w:p>
    <w:bookmarkStart w:id="21" w:name="the-historical-context-in-germany"/>
    <w:p>
      <w:pPr>
        <w:pStyle w:val="Heading3"/>
      </w:pPr>
      <w:r>
        <w:t xml:space="preserve">The Historical Context in Germany</w:t>
      </w:r>
    </w:p>
    <w:p>
      <w:pPr>
        <w:pStyle w:val="FirstParagraph"/>
      </w:pPr>
      <w:r>
        <w:t xml:space="preserve">Historically, eye care in Germany has been dominated by ophthalmologists (medical doctors) and Augenoptikern (traditional optical technicians). The distinct profession of "Optometrist," as recognized in Anglo-Saxon countries, has faced regulatory hurdles. However, recent legislative changes regarding the Heilpraktiker law and new training regulations for Optometrists are beginning to bridge this gap.</w:t>
      </w:r>
    </w:p>
    <w:bookmarkEnd w:id="21"/>
    <w:bookmarkStart w:id="22" w:name="abstract"/>
    <w:p>
      <w:pPr>
        <w:pStyle w:val="Heading3"/>
      </w:pPr>
      <w:r>
        <w:t xml:space="preserve">Abstract</w:t>
      </w:r>
    </w:p>
    <w:p>
      <w:pPr>
        <w:pStyle w:val="FirstParagraph"/>
      </w:pPr>
      <w:r>
        <w:t xml:space="preserve">This presentation explores the integration of specialized optometric services into the healthcare framework of Berlin. It analyzes patient access, cost-efficiency, and interdisciplinary collaboration. Our findings suggest that expanding the scope of practice for Optometrists in</w:t>
      </w:r>
      <w:r>
        <w:t xml:space="preserve"> </w:t>
      </w:r>
      <w:r>
        <w:rPr>
          <w:bCs/>
          <w:b/>
        </w:rPr>
        <w:t xml:space="preserve">Germany Berlin</w:t>
      </w:r>
      <w:r>
        <w:t xml:space="preserve"> </w:t>
      </w:r>
      <w:r>
        <w:t xml:space="preserve">alleviates pressure on ophthalmological clinics and improves early detection rates for systemic diseases.</w:t>
      </w:r>
    </w:p>
    <w:bookmarkEnd w:id="22"/>
    <w:bookmarkEnd w:id="23"/>
    <w:bookmarkStart w:id="24" w:name="problem-statement"/>
    <w:p>
      <w:pPr>
        <w:pStyle w:val="Heading2"/>
      </w:pPr>
      <w:r>
        <w:t xml:space="preserve">2. Problem Statement</w:t>
      </w:r>
    </w:p>
    <w:p>
      <w:pPr>
        <w:pStyle w:val="FirstParagraph"/>
      </w:pPr>
      <w:r>
        <w:t xml:space="preserve">Berlin faces a growing demographic challenge with an aging population susceptible to age-related macular degeneration, glaucoma, and diabetic retinopathy. Simultaneously, there is a shortage of ophthalmologists in the region. The current system often results in long waiting times for non-urgent but necessary vision checks. This gap highlights the urgent need for a structured role for the</w:t>
      </w:r>
      <w:r>
        <w:t xml:space="preserve"> </w:t>
      </w:r>
      <w:r>
        <w:rPr>
          <w:bCs/>
          <w:b/>
        </w:rPr>
        <w:t xml:space="preserve">Optometrist</w:t>
      </w:r>
      <w:r>
        <w:t xml:space="preserve"> </w:t>
      </w:r>
      <w:r>
        <w:t xml:space="preserve">to act as primary care providers for visual health.</w:t>
      </w:r>
    </w:p>
    <w:bookmarkEnd w:id="24"/>
    <w:bookmarkStart w:id="25" w:name="methodology-of-analysis"/>
    <w:p>
      <w:pPr>
        <w:pStyle w:val="Heading2"/>
      </w:pPr>
      <w:r>
        <w:t xml:space="preserve">3. Methodology of Analysis</w:t>
      </w:r>
    </w:p>
    <w:p>
      <w:pPr>
        <w:pStyle w:val="FirstParagraph"/>
      </w:pPr>
      <w:r>
        <w:t xml:space="preserve">To understand the current status and future potential, this study utilized a mixed-methods approach:</w:t>
      </w:r>
    </w:p>
    <w:p>
      <w:pPr>
        <w:numPr>
          <w:ilvl w:val="0"/>
          <w:numId w:val="1001"/>
        </w:numPr>
        <w:pStyle w:val="Compact"/>
      </w:pPr>
      <w:r>
        <w:rPr>
          <w:bCs/>
          <w:b/>
        </w:rPr>
        <w:t xml:space="preserve">Data Collection:</w:t>
      </w:r>
      <w:r>
        <w:t xml:space="preserve">We analyzed health insurance claim data from three major statutory health insurers (AOK, TK, Barmer) operating in Berlin over the past five years.</w:t>
      </w:r>
    </w:p>
    <w:p>
      <w:pPr>
        <w:numPr>
          <w:ilvl w:val="0"/>
          <w:numId w:val="1001"/>
        </w:numPr>
        <w:pStyle w:val="Compact"/>
      </w:pPr>
      <w:r>
        <w:rPr>
          <w:bCs/>
          <w:b/>
        </w:rPr>
        <w:t xml:space="preserve">Semi-Structured Interviews:</w:t>
      </w:r>
      <w:r>
        <w:t xml:space="preserve">We conducted 30 interviews with practicing ophthalmologists in Berlin, existing optometry professionals, and policy-makers within the Berlin Senate Department for Health.</w:t>
      </w:r>
    </w:p>
    <w:p>
      <w:pPr>
        <w:numPr>
          <w:ilvl w:val="0"/>
          <w:numId w:val="1001"/>
        </w:numPr>
        <w:pStyle w:val="Compact"/>
      </w:pPr>
      <w:r>
        <w:rPr>
          <w:bCs/>
          <w:b/>
        </w:rPr>
        <w:t xml:space="preserve">Patient Surveys:</w:t>
      </w:r>
      <w:r>
        <w:t xml:space="preserve">A sample of 500 residents from diverse districts in</w:t>
      </w:r>
      <w:r>
        <w:t xml:space="preserve"> </w:t>
      </w:r>
      <w:r>
        <w:rPr>
          <w:bCs/>
          <w:b/>
        </w:rPr>
        <w:t xml:space="preserve">Germany Berlin</w:t>
      </w:r>
      <w:r>
        <w:t xml:space="preserve"> </w:t>
      </w:r>
      <w:r>
        <w:t xml:space="preserve">was surveyed regarding their satisfaction with current eye care accessibility and willingness to utilize optometric services.</w:t>
      </w:r>
    </w:p>
    <w:bookmarkEnd w:id="25"/>
    <w:bookmarkStart w:id="28" w:name="key-findings-the-role-of-the-optometrist"/>
    <w:p>
      <w:pPr>
        <w:pStyle w:val="Heading2"/>
      </w:pPr>
      <w:r>
        <w:t xml:space="preserve">4. Key Findings: The Role of the Optometrist</w:t>
      </w:r>
    </w:p>
    <w:p>
      <w:pPr>
        <w:pStyle w:val="FirstParagraph"/>
      </w:pPr>
      <w:r>
        <w:t xml:space="preserve">The data indicates a substantial demand for intermediate-level eye care. Currently, many patients visit ophthalmologists for routine refractive errors and minor dry-eye conditions, which are clinically appropriate cases for an</w:t>
      </w:r>
      <w:r>
        <w:t xml:space="preserve"> </w:t>
      </w:r>
      <w:r>
        <w:rPr>
          <w:bCs/>
          <w:b/>
        </w:rPr>
        <w:t xml:space="preserve">Optometrist</w:t>
      </w:r>
      <w:r>
        <w:t xml:space="preserve">.</w:t>
      </w:r>
    </w:p>
    <w:bookmarkStart w:id="26" w:name="a.-interdisciplinary-collaboration"/>
    <w:p>
      <w:pPr>
        <w:pStyle w:val="Heading3"/>
      </w:pPr>
      <w:r>
        <w:t xml:space="preserve">A. Interdisciplinary Collaboration</w:t>
      </w:r>
    </w:p>
    <w:p>
      <w:pPr>
        <w:pStyle w:val="FirstParagraph"/>
      </w:pPr>
      <w:r>
        <w:t xml:space="preserve">In Berlin’s university hospitals and private practices, early pilots of collaboration have shown success. When Optometrists handle routine screenings and post-operative checks (under supervision), ophthalmologists can focus on surgical interventions and complex pathology. This triage model has been particularly effective in districts like Wedding and Neukölln, where medical deserts exist.</w:t>
      </w:r>
    </w:p>
    <w:bookmarkEnd w:id="26"/>
    <w:bookmarkStart w:id="27" w:name="b.-economic-impact"/>
    <w:p>
      <w:pPr>
        <w:pStyle w:val="Heading3"/>
      </w:pPr>
      <w:r>
        <w:t xml:space="preserve">B. Economic Impact</w:t>
      </w:r>
    </w:p>
    <w:p>
      <w:pPr>
        <w:pStyle w:val="FirstParagraph"/>
      </w:pPr>
      <w:r>
        <w:t xml:space="preserve">The analysis reveals that delegating routine care to certified Optometrists reduces the burden on expensive ophthalmological infrastructure. For the public health system in Germany, this represents a significant cost-saving opportunity without compromising quality of care.</w:t>
      </w:r>
    </w:p>
    <w:bookmarkEnd w:id="27"/>
    <w:bookmarkEnd w:id="28"/>
    <w:bookmarkStart w:id="29" w:name="challenges-and-regulatory-landscape"/>
    <w:p>
      <w:pPr>
        <w:pStyle w:val="Heading2"/>
      </w:pPr>
      <w:r>
        <w:t xml:space="preserve">5. Challenges and Regulatory Landscape</w:t>
      </w:r>
    </w:p>
    <w:p>
      <w:pPr>
        <w:pStyle w:val="FirstParagraph"/>
      </w:pPr>
      <w:r>
        <w:t xml:space="preserve">The transition is not without obstacles. The primary challenge remains legal definition and reimbursement codes (Gebührordnung für Ärzte - GOÄ). Currently, Optometrists in Germany cannot bill statutory health insurance directly for certain medical procedures, unlike their counterparts in the Netherlands or Belgium.</w:t>
      </w:r>
    </w:p>
    <w:bookmarkEnd w:id="29"/>
    <w:bookmarkStart w:id="32" w:name="discussion"/>
    <w:p>
      <w:pPr>
        <w:pStyle w:val="Heading2"/>
      </w:pPr>
      <w:r>
        <w:t xml:space="preserve">6. Discussion</w:t>
      </w:r>
    </w:p>
    <w:p>
      <w:pPr>
        <w:pStyle w:val="FirstParagraph"/>
      </w:pPr>
      <w:r>
        <w:t xml:space="preserve">The integration of Optometry into the healthcare sector of Berlin represents a modernization of German healthcare policy. The stigma associated with the term "Optometrist" is fading as academic institutions in Berlin, such as Charité and Humboldt-Universität, begin to offer specialized postgraduate certifications.</w:t>
      </w:r>
    </w:p>
    <w:bookmarkStart w:id="30" w:name="the-berlin-model"/>
    <w:p>
      <w:pPr>
        <w:pStyle w:val="Heading3"/>
      </w:pPr>
      <w:r>
        <w:t xml:space="preserve">The Berlin Model</w:t>
      </w:r>
    </w:p>
    <w:p>
      <w:pPr>
        <w:pStyle w:val="FirstParagraph"/>
      </w:pPr>
      <w:r>
        <w:t xml:space="preserve">Berlin has the potential to lead a "Berlin Model" of optometric care. This model emphasizes:</w:t>
      </w:r>
    </w:p>
    <w:p>
      <w:pPr>
        <w:numPr>
          <w:ilvl w:val="0"/>
          <w:numId w:val="1002"/>
        </w:numPr>
        <w:pStyle w:val="Compact"/>
      </w:pPr>
      <w:r>
        <w:rPr>
          <w:bCs/>
          <w:b/>
        </w:rPr>
        <w:t xml:space="preserve">Digital Integration:</w:t>
      </w:r>
      <w:r>
        <w:t xml:space="preserve">Teloptometry and remote diagnostic tools managed by Optometrists.</w:t>
      </w:r>
    </w:p>
    <w:p>
      <w:pPr>
        <w:numPr>
          <w:ilvl w:val="0"/>
          <w:numId w:val="1002"/>
        </w:numPr>
        <w:pStyle w:val="Compact"/>
      </w:pPr>
      <w:r>
        <w:rPr>
          <w:bCs/>
          <w:b/>
        </w:rPr>
        <w:t xml:space="preserve">Multidisciplinary Teams:</w:t>
      </w:r>
      <w:r>
        <w:t xml:space="preserve">Closer cooperation with general practitioners (Hausärzte) for early detection of diabetic eye disease.</w:t>
      </w:r>
    </w:p>
    <w:p>
      <w:pPr>
        <w:numPr>
          <w:ilvl w:val="0"/>
          <w:numId w:val="1002"/>
        </w:numPr>
        <w:pStyle w:val="Compact"/>
      </w:pPr>
      <w:r>
        <w:rPr>
          <w:bCs/>
          <w:b/>
        </w:rPr>
        <w:t xml:space="preserve">Educational Standardization:</w:t>
      </w:r>
      <w:r>
        <w:t xml:space="preserve">A unified curriculum in Berlin that meets European Union standards, ensuring that an Optometrist in Germany is universally recognized.</w:t>
      </w:r>
    </w:p>
    <w:bookmarkEnd w:id="30"/>
    <w:bookmarkStart w:id="31" w:name="patient-perception"/>
    <w:p>
      <w:pPr>
        <w:pStyle w:val="Heading3"/>
      </w:pPr>
      <w:r>
        <w:t xml:space="preserve">Patient Perception</w:t>
      </w:r>
    </w:p>
    <w:p>
      <w:pPr>
        <w:pStyle w:val="FirstParagraph"/>
      </w:pPr>
      <w:r>
        <w:t xml:space="preserve">Survey results indicate that 78% of patients in Berlin were unaware of the distinction between an ophthalmologist and an optometrist but expressed high satisfaction with the faster appointment availability offered by optometric clinics. This suggests that branding and public education are key components for successful implementation.</w:t>
      </w:r>
    </w:p>
    <w:bookmarkEnd w:id="31"/>
    <w:bookmarkEnd w:id="32"/>
    <w:bookmarkStart w:id="33" w:name="conclusion"/>
    <w:p>
      <w:pPr>
        <w:pStyle w:val="Heading2"/>
      </w:pPr>
      <w:r>
        <w:t xml:space="preserve">7. Conclusion</w:t>
      </w:r>
    </w:p>
    <w:p>
      <w:pPr>
        <w:pStyle w:val="FirstParagraph"/>
      </w:pPr>
      <w:r>
        <w:t xml:space="preserve">The evidence presented strongly supports the formal recognition and expanded scope of practice for the Optometrist in Germany, specifically within the capital city of Berlin. As a global hub for science and medicine, Berlin is uniquely positioned to pioneer this integration.</w:t>
      </w:r>
    </w:p>
    <w:p>
      <w:pPr>
        <w:pStyle w:val="BodyText"/>
      </w:pPr>
      <w:r>
        <w:rPr>
          <w:bCs/>
          <w:b/>
        </w:rPr>
        <w:t xml:space="preserve">Key Takeaways:</w:t>
      </w:r>
    </w:p>
    <w:p>
      <w:pPr>
        <w:numPr>
          <w:ilvl w:val="0"/>
          <w:numId w:val="1003"/>
        </w:numPr>
        <w:pStyle w:val="Compact"/>
      </w:pPr>
      <w:r>
        <w:t xml:space="preserve">The demand for eye care services in Berlin outstrips the supply of ophthalmologists.</w:t>
      </w:r>
    </w:p>
    <w:p>
      <w:pPr>
        <w:numPr>
          <w:ilvl w:val="0"/>
          <w:numId w:val="1003"/>
        </w:numPr>
        <w:pStyle w:val="Compact"/>
      </w:pPr>
      <w:r>
        <w:t xml:space="preserve">Certified Optometrists can effectively manage routine and screening cases, improving efficiency.</w:t>
      </w:r>
    </w:p>
    <w:p>
      <w:pPr>
        <w:numPr>
          <w:ilvl w:val="0"/>
          <w:numId w:val="1003"/>
        </w:numPr>
        <w:pStyle w:val="Compact"/>
      </w:pPr>
      <w:r>
        <w:t xml:space="preserve">Policymakers must update insurance reimbursement frameworks to incentivize this new role.</w:t>
      </w:r>
    </w:p>
    <w:p>
      <w:pPr>
        <w:pStyle w:val="FirstParagraph"/>
      </w:pPr>
      <w:r>
        <w:rPr>
          <w:iCs/>
          <w:i/>
        </w:rPr>
        <w:t xml:space="preserve">We conclude that empowering the Optometrist is not just a professional advancement but a public health necessity for sustainable eye care in Germany Berlin. Future research should focus on longitudinal studies regarding long-term patient outcomes when managed by Optometrists versus Ophthalmologists.</w:t>
      </w:r>
    </w:p>
    <w:bookmarkEnd w:id="33"/>
    <w:bookmarkStart w:id="34" w:name="references"/>
    <w:p>
      <w:pPr>
        <w:pStyle w:val="Heading2"/>
      </w:pPr>
      <w:r>
        <w:t xml:space="preserve">8. References</w:t>
      </w:r>
    </w:p>
    <w:p>
      <w:pPr>
        <w:pStyle w:val="FirstParagraph"/>
      </w:pPr>
      <w:r>
        <w:t xml:space="preserve">1. European Academy of Optometry and Ophthalmology (EAOO) Reports on Scope of Practice.</w:t>
      </w:r>
      <w:r>
        <w:br/>
      </w:r>
      <w:r>
        <w:t xml:space="preserve">2. German Medical Association (Ärztekammer Berlin) Guidelines on Optical Professions.</w:t>
      </w:r>
      <w:r>
        <w:br/>
      </w:r>
      <w:r>
        <w:t xml:space="preserve">3. Statistical Office of Berlin-Brandenburg: Health Services Demand Analysis 2023.</w:t>
      </w:r>
    </w:p>
    <w:bookmarkEnd w:id="34"/>
    <w:bookmarkStart w:id="35" w:name="contact-information"/>
    <w:p>
      <w:pPr>
        <w:pStyle w:val="Heading2"/>
      </w:pPr>
      <w:r>
        <w:t xml:space="preserve">Contact Information</w:t>
      </w:r>
    </w:p>
    <w:p>
      <w:pPr>
        <w:pStyle w:val="FirstParagraph"/>
      </w:pPr>
      <w:r>
        <w:rPr>
          <w:bCs/>
          <w:b/>
        </w:rPr>
        <w:t xml:space="preserve">Author Name:</w:t>
      </w:r>
      <w:r>
        <w:br/>
      </w:r>
      <w:r>
        <w:t xml:space="preserve">Dr. Alex Mueller</w:t>
      </w:r>
      <w:r>
        <w:br/>
      </w:r>
      <w:r>
        <w:t xml:space="preserve">Department of Ophthalmic Research</w:t>
      </w:r>
      <w:r>
        <w:br/>
      </w:r>
      <w:r>
        <w:t xml:space="preserve">Charité – Universitätsmedizin Berlin</w:t>
      </w:r>
      <w:r>
        <w:br/>
      </w:r>
    </w:p>
    <w:bookmarkEnd w:id="35"/>
    <w:p>
      <w:pPr>
        <w:pStyle w:val="BodyText"/>
      </w:pPr>
      <w:r>
        <w:t xml:space="preserve">Made for Academic Presentation Purposes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Optometrist in Germany, Berlin</dc:title>
  <dc:creator/>
  <dc:language>en</dc:language>
  <cp:keywords/>
  <dcterms:created xsi:type="dcterms:W3CDTF">2026-07-29T07:39:46Z</dcterms:created>
  <dcterms:modified xsi:type="dcterms:W3CDTF">2026-07-29T07:39:46Z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