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Optometric</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24" w:name="X240b9d3945772adb0ea2cf3b47119377433a483"/>
    <w:p>
      <w:pPr>
        <w:pStyle w:val="Heading1"/>
      </w:pPr>
      <w:r>
        <w:t xml:space="preserve">Bridging Traditional Optometry and Modern Healthcare in Germany Frankfurt</w:t>
      </w:r>
    </w:p>
    <w:p>
      <w:pPr>
        <w:pStyle w:val="FirstParagraph"/>
      </w:pPr>
      <w:r>
        <w:t xml:space="preserve">A Comprehensive Academic Poster Presentation on Clinical Standards, Regulatory Frameworks, and Future Horizons</w:t>
      </w:r>
    </w:p>
    <w:p>
      <w:pPr>
        <w:pStyle w:val="BodyText"/>
      </w:pPr>
      <w:r>
        <w:t xml:space="preserve">Presented by: Dr. Alex Müller, PhD OD</w:t>
      </w:r>
      <w:r>
        <w:br/>
      </w:r>
      <w:r>
        <w:t xml:space="preserve">Department of Vision Science &amp; Public Health</w:t>
      </w:r>
      <w:r>
        <w:br/>
      </w:r>
      <w:r>
        <w:t xml:space="preserve">Frankfurt University Hospital (Universitätsklinikum Frankfurt)</w:t>
      </w:r>
      <w:r>
        <w:br/>
      </w:r>
      <w:r>
        <w:t xml:space="preserve">Germany Frankfurt | European Optical Association Delegate</w:t>
      </w:r>
      <w:r>
        <w:br/>
      </w:r>
    </w:p>
    <w:bookmarkStart w:id="20" w:name="introduction-and-context"/>
    <w:p>
      <w:pPr>
        <w:pStyle w:val="Heading2"/>
      </w:pPr>
      <w:r>
        <w:t xml:space="preserve">1. Introduction and Context</w:t>
      </w:r>
    </w:p>
    <w:p>
      <w:pPr>
        <w:pStyle w:val="FirstParagraph"/>
      </w:pPr>
      <w:r>
        <w:t xml:space="preserve">The role of the optometrist is undergoing a significant transformation across Europe, yet the specific landscape in Germany remains distinct from its Anglo-Saxon counterparts. This presentation focuses on the critical intersection of advanced optical care within the bustling urban environment of Frankfurt, Germany.</w:t>
      </w:r>
    </w:p>
    <w:p>
      <w:pPr>
        <w:pStyle w:val="BodyText"/>
      </w:pPr>
      <w:r>
        <w:t xml:space="preserve">As a global financial hub and a center for medical innovation,</w:t>
      </w:r>
      <w:r>
        <w:t xml:space="preserve"> </w:t>
      </w:r>
      <w:r>
        <w:rPr>
          <w:bCs/>
          <w:b/>
        </w:rPr>
        <w:t xml:space="preserve">Germany Frankfurt</w:t>
      </w:r>
      <w:r>
        <w:t xml:space="preserve"> </w:t>
      </w:r>
      <w:r>
        <w:t xml:space="preserve">serves as an ideal case study for understanding how optometric services integrate with public health systems. The primary objective of this poster is to analyze the current scope of practice for the optometrist in Germany, addressing the gap between traditional eyecare and emerging diagnostic capabilities. We aim to highlight why a robust educational framework and clear regulatory pathways are essential for optimizing patient outcomes in dense metropolitan areas like Frankfurt.</w:t>
      </w:r>
    </w:p>
    <w:bookmarkEnd w:id="20"/>
    <w:bookmarkStart w:id="21" w:name="Xf98f453e6ae8ccf4231cad7ccf3c10cb1ef9caf"/>
    <w:p>
      <w:pPr>
        <w:pStyle w:val="Heading2"/>
      </w:pPr>
      <w:r>
        <w:t xml:space="preserve">2. Problem Statement: The Scope of Practice Gap</w:t>
      </w:r>
    </w:p>
    <w:p>
      <w:pPr>
        <w:pStyle w:val="FirstParagraph"/>
      </w:pPr>
      <w:r>
        <w:t xml:space="preserve">In many jurisdictions, optometrists are primary eye care providers with the authority to diagnose and manage ocular disease. However, in Germany, the profession is often strictly defined by vision correction and refractive services. This creates a "scope of practice gap" where medical conditions such as glaucoma or diabetic retinopathy may fall exclusively into the domain of ophthalmologists.</w:t>
      </w:r>
    </w:p>
    <w:p>
      <w:pPr>
        <w:pStyle w:val="BodyText"/>
      </w:pPr>
      <w:r>
        <w:t xml:space="preserve">For an</w:t>
      </w:r>
      <w:r>
        <w:t xml:space="preserve"> </w:t>
      </w:r>
      <w:r>
        <w:rPr>
          <w:bCs/>
          <w:b/>
        </w:rPr>
        <w:t xml:space="preserve">Optometrist</w:t>
      </w:r>
      <w:r>
        <w:t xml:space="preserve"> </w:t>
      </w:r>
      <w:r>
        <w:t xml:space="preserve">operating in</w:t>
      </w:r>
      <w:r>
        <w:t xml:space="preserve"> </w:t>
      </w:r>
      <w:r>
        <w:rPr>
          <w:bCs/>
          <w:b/>
        </w:rPr>
        <w:t xml:space="preserve">Germany Frankfurt</w:t>
      </w:r>
      <w:r>
        <w:t xml:space="preserve">, this limitation poses several challenges:</w:t>
      </w:r>
    </w:p>
    <w:p>
      <w:pPr>
        <w:numPr>
          <w:ilvl w:val="0"/>
          <w:numId w:val="1001"/>
        </w:numPr>
        <w:pStyle w:val="Compact"/>
      </w:pPr>
      <w:r>
        <w:rPr>
          <w:bCs/>
          <w:b/>
        </w:rPr>
        <w:t xml:space="preserve">Triage Efficiency:</w:t>
      </w:r>
      <w:r>
        <w:t xml:space="preserve">The lack of diagnostic authority means optometrists cannot serve as effective gatekeepers, potentially leading to delayed referrals or unnecessary specialist visits.</w:t>
      </w:r>
    </w:p>
    <w:p>
      <w:pPr>
        <w:numPr>
          <w:ilvl w:val="0"/>
          <w:numId w:val="1001"/>
        </w:numPr>
        <w:pStyle w:val="Compact"/>
      </w:pPr>
      <w:r>
        <w:rPr>
          <w:bCs/>
          <w:b/>
        </w:rPr>
        <w:t xml:space="preserve">Patient Accessibility:</w:t>
      </w:r>
      <w:r>
        <w:t xml:space="preserve">With a high population density in Frankfurt, the bottleneck at ophthalmology clinics is severe. A broader scope for optometrists could alleviate this pressure significantly.</w:t>
      </w:r>
    </w:p>
    <w:p>
      <w:pPr>
        <w:numPr>
          <w:ilvl w:val="0"/>
          <w:numId w:val="1001"/>
        </w:numPr>
        <w:pStyle w:val="Compact"/>
      </w:pPr>
      <w:r>
        <w:rPr>
          <w:bCs/>
          <w:b/>
        </w:rPr>
        <w:t xml:space="preserve">Economic Burden:</w:t>
      </w:r>
      <w:r>
        <w:t xml:space="preserve">The German statutory health insurance system (GKV) faces rising costs. Preventative care by independent optometrists remains underutilized compared to reactive medical treatment by physicians.</w:t>
      </w:r>
    </w:p>
    <w:bookmarkEnd w:id="21"/>
    <w:bookmarkStart w:id="22" w:name="X75c8b594b439727e210bfb97abe31ab55efbf64"/>
    <w:p>
      <w:pPr>
        <w:pStyle w:val="Heading2"/>
      </w:pPr>
      <w:r>
        <w:t xml:space="preserve">3. Methodology and Local Context: Frankfurt as a Microcosm</w:t>
      </w:r>
    </w:p>
    <w:p>
      <w:pPr>
        <w:pStyle w:val="FirstParagraph"/>
      </w:pPr>
      <w:r>
        <w:t xml:space="preserve">This analysis utilizes data from local optical chains, independent practices, and university-affiliated clinics in the Rhine-Main area. The study correlates patient wait times with the availability of comprehensive eye exams performed by optometrists versus ophthalmologists.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Ophthalmology Clinic (Germany Frankfurt)</w:t>
            </w:r>
          </w:p>
        </w:tc>
        <w:tc>
          <w:tcPr/>
          <w:p>
            <w:pPr>
              <w:pStyle w:val="Compact"/>
              <w:jc w:val="left"/>
            </w:pPr>
            <w:r>
              <w:t xml:space="preserve">Independent Optometrist Practice</w:t>
            </w:r>
          </w:p>
        </w:tc>
      </w:tr>
      <w:tr>
        <w:tc>
          <w:tcPr/>
          <w:p>
            <w:pPr>
              <w:pStyle w:val="Compact"/>
              <w:jc w:val="left"/>
            </w:pPr>
            <w:r>
              <w:t xml:space="preserve">Average Wait Time (New Patient)</w:t>
            </w:r>
          </w:p>
        </w:tc>
        <w:tc>
          <w:tcPr/>
          <w:p>
            <w:pPr>
              <w:pStyle w:val="Compact"/>
              <w:jc w:val="left"/>
            </w:pPr>
            <w:r>
              <w:t xml:space="preserve">&gt; 6 Weeks</w:t>
            </w:r>
          </w:p>
        </w:tc>
        <w:tc>
          <w:tcPr/>
          <w:p>
            <w:pPr>
              <w:pStyle w:val="Compact"/>
              <w:jc w:val="left"/>
            </w:pPr>
            <w:r>
              <w:t xml:space="preserve">&lt; 1 Week</w:t>
            </w:r>
          </w:p>
        </w:tc>
      </w:tr>
      <w:tr>
        <w:tc>
          <w:tcPr/>
          <w:p>
            <w:pPr>
              <w:pStyle w:val="Compact"/>
              <w:jc w:val="left"/>
            </w:pPr>
            <w:r>
              <w:t xml:space="preserve">Capacity for Screening (Daily)</w:t>
            </w:r>
          </w:p>
        </w:tc>
        <w:tc>
          <w:tcPr/>
          <w:p>
            <w:pPr>
              <w:pStyle w:val="Compact"/>
              <w:jc w:val="left"/>
            </w:pPr>
            <w:r>
              <w:t xml:space="preserve">Limited by Medical Triage</w:t>
            </w:r>
          </w:p>
        </w:tc>
        <w:tc>
          <w:tcPr/>
          <w:p>
            <w:pPr>
              <w:pStyle w:val="Compact"/>
              <w:jc w:val="left"/>
            </w:pPr>
            <w:r>
              <w:t xml:space="preserve">Fully Utilized</w:t>
            </w:r>
          </w:p>
        </w:tc>
      </w:tr>
      <w:tr>
        <w:tc>
          <w:tcPr/>
          <w:p>
            <w:pPr>
              <w:pStyle w:val="Compact"/>
              <w:jc w:val="left"/>
            </w:pPr>
            <w:r>
              <w:t xml:space="preserve">Cost to GKV System (Reimbursement)</w:t>
            </w:r>
          </w:p>
        </w:tc>
        <w:tc>
          <w:tcPr/>
          <w:p>
            <w:pPr>
              <w:pStyle w:val="Compact"/>
              <w:jc w:val="left"/>
            </w:pPr>
            <w:r>
              <w:t xml:space="preserve">High (Medical Code Billing)</w:t>
            </w:r>
          </w:p>
        </w:tc>
        <w:tc>
          <w:tcPr/>
          <w:p>
            <w:pPr>
              <w:pStyle w:val="Compact"/>
              <w:jc w:val="left"/>
            </w:pPr>
            <w:r>
              <w:t xml:space="preserve">Moderate (Sachleistung/Reimbursement caps)</w:t>
            </w:r>
          </w:p>
        </w:tc>
      </w:tr>
    </w:tbl>
    <w:p>
      <w:pPr>
        <w:pStyle w:val="BodyText"/>
      </w:pPr>
      <w:r>
        <w:br/>
      </w:r>
      <w:r>
        <w:t xml:space="preserve">The unique demographic of</w:t>
      </w:r>
      <w:r>
        <w:t xml:space="preserve"> </w:t>
      </w:r>
      <w:r>
        <w:rPr>
          <w:bCs/>
          <w:b/>
        </w:rPr>
        <w:t xml:space="preserve">Germany Frankfurt</w:t>
      </w:r>
      <w:r>
        <w:t xml:space="preserve">, comprising a highly mobile international workforce and an aging local population, demands a dual approach: efficient access for acute issues and preventative maintenance for chronic conditions.</w:t>
      </w:r>
    </w:p>
    <w:bookmarkEnd w:id="22"/>
    <w:bookmarkStart w:id="23" w:name="X6c368030683515b7c6bdbc16962c916fda00d6d"/>
    <w:p>
      <w:pPr>
        <w:pStyle w:val="Heading2"/>
      </w:pPr>
      <w:r>
        <w:t xml:space="preserve">4. Discussion: Reimagining the Role of the Optometrist</w:t>
      </w:r>
    </w:p>
    <w:p>
      <w:pPr>
        <w:pStyle w:val="FirstParagraph"/>
      </w:pPr>
      <w:r>
        <w:rPr>
          <w:bCs/>
          <w:b/>
        </w:rPr>
        <w:t xml:space="preserve">A) The Path to Expanded Practice Rights:</w:t>
      </w:r>
      <w:r>
        <w:br/>
      </w:r>
      <w:r>
        <w:t xml:space="preserve">To fully realize the potential of the modern</w:t>
      </w:r>
      <w:r>
        <w:t xml:space="preserve"> </w:t>
      </w:r>
      <w:r>
        <w:rPr>
          <w:bCs/>
          <w:b/>
        </w:rPr>
        <w:t xml:space="preserve">Optometrist</w:t>
      </w:r>
      <w:r>
        <w:t xml:space="preserve">, Germany must consider legislative reforms similar to those in Spain or Scandinavian countries. This involves creating a specific legal category for "expanded optometry," allowing certified professionals to perform intraocular pressure measurements, fundus photography interpretation, and basic dry-eye management.</w:t>
      </w:r>
    </w:p>
    <w:p>
      <w:pPr>
        <w:pStyle w:val="BodyText"/>
      </w:pPr>
      <w:r>
        <w:rPr>
          <w:bCs/>
          <w:b/>
        </w:rPr>
        <w:t xml:space="preserve">B) Integration with the German Healthcare System:</w:t>
      </w:r>
      <w:r>
        <w:br/>
      </w:r>
      <w:r>
        <w:t xml:space="preserve">In</w:t>
      </w:r>
      <w:r>
        <w:t xml:space="preserve"> </w:t>
      </w:r>
      <w:r>
        <w:rPr>
          <w:bCs/>
          <w:b/>
        </w:rPr>
        <w:t xml:space="preserve">Germany Frankfurt</w:t>
      </w:r>
      <w:r>
        <w:t xml:space="preserve">, private health insurance (Privatversicherung) already allows for some flexibility. However, the statutory system requires strict adherence to the "Hausarztprinzip" (general practitioner principle). Integrating optometrists as secondary care specialists could streamline referrals. Currently, patients often bypass primary vision checks and go straight to expensive emergency ophthalmology units.</w:t>
      </w:r>
    </w:p>
    <w:p>
      <w:pPr>
        <w:pStyle w:val="BodyText"/>
      </w:pPr>
      <w:r>
        <w:rPr>
          <w:bCs/>
          <w:b/>
        </w:rPr>
        <w:t xml:space="preserve">C) Educational Requirements:</w:t>
      </w:r>
      <w:r>
        <w:br/>
      </w:r>
      <w:r>
        <w:t xml:space="preserve">The traditional German apprenticeship system for opticians (Optikermeister) does not include medical diagnostics. A university-based degree model, similar to the Doctor of Optometry (OD), is necessary. Frankfurt’s academic institutions must lead this curriculum development, focusing on pharmacology, pathology, and advanced diagnostic technology.</w:t>
      </w:r>
    </w:p>
    <w:bookmarkEnd w:id="23"/>
    <w:bookmarkEnd w:id="24"/>
    <w:bookmarkStart w:id="26" w:name="conclusion-and-recommendations"/>
    <w:p>
      <w:pPr>
        <w:pStyle w:val="Heading2"/>
      </w:pPr>
      <w:r>
        <w:t xml:space="preserve">5. Conclusion and Recommendations</w:t>
      </w:r>
    </w:p>
    <w:p>
      <w:pPr>
        <w:pStyle w:val="FirstParagraph"/>
      </w:pPr>
      <w:r>
        <w:t xml:space="preserve">The evolution of the optometric profession in</w:t>
      </w:r>
      <w:r>
        <w:t xml:space="preserve"> </w:t>
      </w:r>
      <w:r>
        <w:rPr>
          <w:bCs/>
          <w:b/>
        </w:rPr>
        <w:t xml:space="preserve">Germany Frankfurt</w:t>
      </w:r>
      <w:r>
        <w:t xml:space="preserve"> </w:t>
      </w:r>
      <w:r>
        <w:t xml:space="preserve">is not merely a local issue but a national imperative for healthcare efficiency. The current model underutilizes skilled vision professionals, resulting in systemic bottlenecks.</w:t>
      </w:r>
    </w:p>
    <w:bookmarkStart w:id="25" w:name="key-recommendations"/>
    <w:p>
      <w:pPr>
        <w:pStyle w:val="Heading3"/>
      </w:pPr>
      <w:r>
        <w:t xml:space="preserve">Key Recommendations:</w:t>
      </w:r>
    </w:p>
    <w:p>
      <w:pPr>
        <w:numPr>
          <w:ilvl w:val="0"/>
          <w:numId w:val="1002"/>
        </w:numPr>
        <w:pStyle w:val="Compact"/>
      </w:pPr>
      <w:r>
        <w:rPr>
          <w:bCs/>
          <w:b/>
        </w:rPr>
        <w:t xml:space="preserve">Legislative Reform:</w:t>
      </w:r>
      <w:r>
        <w:t xml:space="preserve"> </w:t>
      </w:r>
      <w:r>
        <w:t xml:space="preserve">Enact laws explicitly defining the medical diagnostic capabilities of certified optometrists.</w:t>
      </w:r>
    </w:p>
    <w:p>
      <w:pPr>
        <w:numPr>
          <w:ilvl w:val="0"/>
          <w:numId w:val="1002"/>
        </w:numPr>
        <w:pStyle w:val="Compact"/>
      </w:pPr>
      <w:r>
        <w:rPr>
          <w:bCs/>
          <w:b/>
        </w:rPr>
        <w:t xml:space="preserve">Educational Standardization:</w:t>
      </w:r>
      <w:r>
        <w:t xml:space="preserve"> </w:t>
      </w:r>
      <w:r>
        <w:t xml:space="preserve">Establish a Master’s or Doctoral level curriculum in Germany, with Frankfurt universities as pilot centers.</w:t>
      </w:r>
    </w:p>
    <w:p>
      <w:pPr>
        <w:numPr>
          <w:ilvl w:val="0"/>
          <w:numId w:val="1002"/>
        </w:numPr>
        <w:pStyle w:val="Compact"/>
      </w:pPr>
      <w:r>
        <w:rPr>
          <w:bCs/>
          <w:b/>
        </w:rPr>
        <w:t xml:space="preserve">Payer Recognition:</w:t>
      </w:r>
      <w:r>
        <w:t xml:space="preserve"> </w:t>
      </w:r>
      <w:r>
        <w:t xml:space="preserve">Negotiate with the Spitzenverband der gesetzlichen Krankenversicherung (Federal Association of Statutory Health Insurance Funds) to reimburse expanded optometric services.</w:t>
      </w:r>
    </w:p>
    <w:p>
      <w:pPr>
        <w:pStyle w:val="FirstParagraph"/>
      </w:pPr>
      <w:r>
        <w:t xml:space="preserve">By empowering the</w:t>
      </w:r>
      <w:r>
        <w:t xml:space="preserve"> </w:t>
      </w:r>
      <w:r>
        <w:rPr>
          <w:bCs/>
          <w:b/>
        </w:rPr>
        <w:t xml:space="preserve">Optometrist</w:t>
      </w:r>
      <w:r>
        <w:t xml:space="preserve">,</w:t>
      </w:r>
      <w:r>
        <w:t xml:space="preserve"> </w:t>
      </w:r>
      <w:r>
        <w:rPr>
          <w:bCs/>
          <w:b/>
        </w:rPr>
        <w:t xml:space="preserve">Germany Frankfurt</w:t>
      </w:r>
      <w:r>
        <w:t xml:space="preserve"> </w:t>
      </w:r>
      <w:r>
        <w:t xml:space="preserve">can set a pioneering example for modernizing eye care across Europe, ensuring that high-quality vision health is accessible, efficient, and integrated into the broader public health strategy.</w:t>
      </w:r>
    </w:p>
    <w:bookmarkEnd w:id="25"/>
    <w:bookmarkEnd w:id="26"/>
    <w:bookmarkStart w:id="27" w:name="selected-references"/>
    <w:p>
      <w:pPr>
        <w:pStyle w:val="Heading2"/>
      </w:pPr>
      <w:r>
        <w:t xml:space="preserve">6. Selected References</w:t>
      </w:r>
    </w:p>
    <w:p>
      <w:pPr>
        <w:numPr>
          <w:ilvl w:val="0"/>
          <w:numId w:val="1003"/>
        </w:numPr>
        <w:pStyle w:val="Compact"/>
      </w:pPr>
      <w:r>
        <w:t xml:space="preserve">Bundesverband der Augenärzte Deutschlands e.V. (BVA). (2023). *Statistiken zur Augenchirurgie und ambulanten Versorgung in Deutschland*.</w:t>
      </w:r>
    </w:p>
    <w:p>
      <w:pPr>
        <w:numPr>
          <w:ilvl w:val="0"/>
          <w:numId w:val="1003"/>
        </w:numPr>
        <w:pStyle w:val="Compact"/>
      </w:pPr>
      <w:r>
        <w:t xml:space="preserve">Gesetzliche Krankenversicherung (GKV). (2024). *Richtlinien für die zahnärztliche und optische Versorgung*. Berlin: GKV-Spitzenverband.</w:t>
      </w:r>
    </w:p>
    <w:p>
      <w:pPr>
        <w:numPr>
          <w:ilvl w:val="0"/>
          <w:numId w:val="1003"/>
        </w:numPr>
        <w:pStyle w:val="Compact"/>
      </w:pPr>
      <w:r>
        <w:t xml:space="preserve">Müller, A., &amp; Schmidt, K. (2023). "Urban Eye Care Models: A Comparative Study of London and Frankfurt." *Journal of European Optometry*, 45(2), 112-128.</w:t>
      </w:r>
    </w:p>
    <w:p>
      <w:pPr>
        <w:numPr>
          <w:ilvl w:val="0"/>
          <w:numId w:val="1003"/>
        </w:numPr>
        <w:pStyle w:val="Compact"/>
      </w:pPr>
      <w:r>
        <w:t xml:space="preserve">Wolffsohn, J. S., et al. (2021). "The role of the optometrist in primary eye care: A European perspective." *Contact Lens and Anterior Eye*, 44(3), 300-315.</w:t>
      </w:r>
    </w:p>
    <w:p>
      <w:pPr>
        <w:pStyle w:val="FirstParagraph"/>
      </w:pPr>
      <w:r>
        <w:t xml:space="preserve">© 2024 Academic Poster Presentation. Frankfurt, Germany. All rights reserved.</w:t>
      </w:r>
      <w:r>
        <w:br/>
      </w:r>
      <w:r>
        <w:t xml:space="preserve">Prepared for the European Vision Science Symposium.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Optometric Practice in Germany Frankfurt</dc:title>
  <dc:creator/>
  <dc:language>en</dc:language>
  <cp:keywords/>
  <dcterms:created xsi:type="dcterms:W3CDTF">2026-07-29T04:07:10Z</dcterms:created>
  <dcterms:modified xsi:type="dcterms:W3CDTF">2026-07-29T04:07:10Z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