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Optometry</w:t>
      </w:r>
      <w:r>
        <w:t xml:space="preserve"> </w:t>
      </w:r>
      <w:r>
        <w:t xml:space="preserve">in</w:t>
      </w:r>
      <w:r>
        <w:t xml:space="preserve"> </w:t>
      </w:r>
      <w:r>
        <w:t xml:space="preserve">Japan</w:t>
      </w:r>
      <w:r>
        <w:t xml:space="preserve"> </w:t>
      </w:r>
      <w:r>
        <w:t xml:space="preserve">Kyoto</w:t>
      </w:r>
    </w:p>
    <w:bookmarkStart w:id="28" w:name="X97993ef65fd46be9997ecc87bfb17eb3ff77843"/>
    <w:p>
      <w:pPr>
        <w:pStyle w:val="Heading1"/>
      </w:pPr>
      <w:r>
        <w:t xml:space="preserve">Bridging Tradition and Technology: The Evolving Role of the Optometrist in Japan’s Historical Heart – Kyoto</w:t>
      </w:r>
    </w:p>
    <w:p>
      <w:pPr>
        <w:pStyle w:val="FirstParagraph"/>
      </w:pPr>
      <w:r>
        <w:t xml:space="preserve">Presented at the International Symposium on Vision Science &amp; Public Health</w:t>
      </w:r>
      <w:r>
        <w:br/>
      </w:r>
      <w:r>
        <w:t xml:space="preserve">Location Focus: Kyoto, Japan | Academic Context: Poster Presentation Overview</w:t>
      </w:r>
    </w:p>
    <w:p>
      <w:pPr>
        <w:pStyle w:val="BodyText"/>
      </w:pPr>
      <w:r>
        <w:t xml:space="preserve">This academic poster presentation explores the critical intersection of advanced optometric care, cultural heritage preservation, and public health innovation within the unique demographic and geographic context of Kyoto, Japan.</w:t>
      </w:r>
    </w:p>
    <w:bookmarkStart w:id="20" w:name="introduction-the-kyoto-context"/>
    <w:p>
      <w:pPr>
        <w:pStyle w:val="Heading2"/>
      </w:pPr>
      <w:r>
        <w:t xml:space="preserve">1. Introduction: The Kyoto Context</w:t>
      </w:r>
    </w:p>
    <w:p>
      <w:pPr>
        <w:pStyle w:val="FirstParagraph"/>
      </w:pPr>
      <w:r>
        <w:t xml:space="preserve">Kyoto, the former imperial capital of Japan, stands as a living museum of history and culture. However, beneath its serene temples and traditional machiya houses lies a rapidly aging population facing complex visual health challenges. For the academic community and clinical practitioners alike, Kyoto serves as a microcosm for understanding how modern</w:t>
      </w:r>
      <w:r>
        <w:t xml:space="preserve"> </w:t>
      </w:r>
      <w:r>
        <w:rPr>
          <w:bCs/>
          <w:b/>
        </w:rPr>
        <w:t xml:space="preserve">Optometrist</w:t>
      </w:r>
      <w:r>
        <w:t xml:space="preserve"> </w:t>
      </w:r>
      <w:r>
        <w:t xml:space="preserve">practices can adapt to preserve quality of life in societies that deeply value longevity and independence.</w:t>
      </w:r>
    </w:p>
    <w:p>
      <w:pPr>
        <w:pStyle w:val="BodyText"/>
      </w:pPr>
      <w:r>
        <w:t xml:space="preserve">This presentation argues that the role of the Optometrist in</w:t>
      </w:r>
      <w:r>
        <w:t xml:space="preserve"> </w:t>
      </w:r>
      <w:r>
        <w:rPr>
          <w:bCs/>
          <w:b/>
        </w:rPr>
        <w:t xml:space="preserve">Japan Kyoto</w:t>
      </w:r>
      <w:r>
        <w:t xml:space="preserve"> </w:t>
      </w:r>
      <w:r>
        <w:t xml:space="preserve">is not merely diagnostic but extends into community engagement, technology integration, and cultural adaptation. By examining local data from Kyoto’s healthcare facilities, we highlight how specialized optometric interventions can mitigate the societal burden of age-related vision loss.</w:t>
      </w:r>
    </w:p>
    <w:bookmarkEnd w:id="20"/>
    <w:bookmarkStart w:id="21" w:name="Xf1a5dd81ee1b1648a60c23ddff7460860666fd7"/>
    <w:p>
      <w:pPr>
        <w:pStyle w:val="Heading2"/>
      </w:pPr>
      <w:r>
        <w:t xml:space="preserve">2. Problem Statement: Vision Loss in an Aging Society</w:t>
      </w:r>
    </w:p>
    <w:p>
      <w:pPr>
        <w:pStyle w:val="FirstParagraph"/>
      </w:pPr>
      <w:r>
        <w:t xml:space="preserve">Aging population dynamics in Kyoto mirror those of the broader Japanese demographic but with intensified concentration. The prevalence of cataracts, glaucoma, age-related macular degeneration (AMD), and diabetic retinopathy is rising sharply. Traditional hospital-centric models often struggle to provide continuous care for these chronic conditions.</w:t>
      </w:r>
    </w:p>
    <w:p>
      <w:pPr>
        <w:numPr>
          <w:ilvl w:val="0"/>
          <w:numId w:val="1001"/>
        </w:numPr>
        <w:pStyle w:val="Compact"/>
      </w:pPr>
      <w:r>
        <w:rPr>
          <w:bCs/>
          <w:b/>
        </w:rPr>
        <w:t xml:space="preserve">Social Isolation:</w:t>
      </w:r>
      <w:r>
        <w:t xml:space="preserve"> </w:t>
      </w:r>
      <w:r>
        <w:t xml:space="preserve">Vision impairment in the elderly of Kyoto correlates strongly with social withdrawal, reducing engagement in community activities that define local culture.</w:t>
      </w:r>
    </w:p>
    <w:p>
      <w:pPr>
        <w:numPr>
          <w:ilvl w:val="0"/>
          <w:numId w:val="1001"/>
        </w:numPr>
        <w:pStyle w:val="Compact"/>
      </w:pPr>
      <w:r>
        <w:rPr>
          <w:bCs/>
          <w:b/>
        </w:rPr>
        <w:t xml:space="preserve">Economic Burden:</w:t>
      </w:r>
      <w:r>
        <w:t xml:space="preserve">The cost of untreated visual impairment increases healthcare expenditures for families and the national insurance system.</w:t>
      </w:r>
    </w:p>
    <w:p>
      <w:pPr>
        <w:numPr>
          <w:ilvl w:val="0"/>
          <w:numId w:val="1001"/>
        </w:numPr>
        <w:pStyle w:val="Compact"/>
      </w:pPr>
      <w:r>
        <w:rPr>
          <w:bCs/>
          <w:b/>
        </w:rPr>
        <w:t xml:space="preserve">Clinical Gap:</w:t>
      </w:r>
      <w:r>
        <w:t xml:space="preserve"> </w:t>
      </w:r>
      <w:r>
        <w:t xml:space="preserve">There is a need for proactive, patient-centered care models that empower patients to manage their ocular health actively.</w:t>
      </w:r>
    </w:p>
    <w:bookmarkEnd w:id="21"/>
    <w:bookmarkStart w:id="22" w:name="scope-of-the-optometrists-role"/>
    <w:p>
      <w:pPr>
        <w:pStyle w:val="Heading2"/>
      </w:pPr>
      <w:r>
        <w:t xml:space="preserve">3. Scope of the Optometrist’s Role</w:t>
      </w:r>
    </w:p>
    <w:p>
      <w:pPr>
        <w:pStyle w:val="FirstParagraph"/>
      </w:pPr>
      <w:r>
        <w:t xml:space="preserve">This poster defines the expanded scope of practice for an</w:t>
      </w:r>
      <w:r>
        <w:t xml:space="preserve"> </w:t>
      </w:r>
      <w:r>
        <w:rPr>
          <w:bCs/>
          <w:b/>
        </w:rPr>
        <w:t xml:space="preserve">Optometrist</w:t>
      </w:r>
      <w:r>
        <w:t xml:space="preserve"> </w:t>
      </w:r>
      <w:r>
        <w:t xml:space="preserve">operating in a developed healthcare system like Japan, specifically within the culturally distinct environment of Kyoto.</w:t>
      </w:r>
    </w:p>
    <w:p>
      <w:pPr>
        <w:numPr>
          <w:ilvl w:val="0"/>
          <w:numId w:val="1002"/>
        </w:numPr>
        <w:pStyle w:val="Compact"/>
      </w:pPr>
      <w:r>
        <w:rPr>
          <w:bCs/>
          <w:b/>
        </w:rPr>
        <w:t xml:space="preserve">Advanced Diagnostics:</w:t>
      </w:r>
      <w:r>
        <w:t xml:space="preserve"> </w:t>
      </w:r>
      <w:r>
        <w:t xml:space="preserve">Utilization of Optical Coherence Tomography (OCT) and wide-field fundus imaging to detect pathologies early.</w:t>
      </w:r>
    </w:p>
    <w:p>
      <w:pPr>
        <w:numPr>
          <w:ilvl w:val="0"/>
          <w:numId w:val="1002"/>
        </w:numPr>
        <w:pStyle w:val="Compact"/>
      </w:pPr>
      <w:r>
        <w:rPr>
          <w:bCs/>
          <w:b/>
        </w:rPr>
        <w:t xml:space="preserve">Pediatric Myopia Control:</w:t>
      </w:r>
      <w:r>
        <w:t xml:space="preserve"> </w:t>
      </w:r>
      <w:r>
        <w:t xml:space="preserve">Addressing the high rates of myopia among Japanese youth through specialized contact lenses and behavioral interventions.</w:t>
      </w:r>
    </w:p>
    <w:p>
      <w:pPr>
        <w:numPr>
          <w:ilvl w:val="0"/>
          <w:numId w:val="1002"/>
        </w:numPr>
        <w:pStyle w:val="Compact"/>
      </w:pPr>
      <w:r>
        <w:rPr>
          <w:bCs/>
          <w:b/>
        </w:rPr>
        <w:t xml:space="preserve">Contact Lens Therapy for Dry Eye:</w:t>
      </w:r>
      <w:r>
        <w:t xml:space="preserve"> </w:t>
      </w:r>
      <w:r>
        <w:t xml:space="preserve">Scleral lenses and customized therapeutic contacts for patients suffering from severe dry eye disease, a common issue among Kyoto’s older demographic due to environmental factors.</w:t>
      </w:r>
    </w:p>
    <w:p>
      <w:pPr>
        <w:numPr>
          <w:ilvl w:val="0"/>
          <w:numId w:val="1002"/>
        </w:numPr>
        <w:pStyle w:val="Compact"/>
      </w:pPr>
      <w:r>
        <w:rPr>
          <w:bCs/>
          <w:b/>
        </w:rPr>
        <w:t xml:space="preserve">Low Vision Rehabilitation:</w:t>
      </w:r>
      <w:r>
        <w:t xml:space="preserve"> </w:t>
      </w:r>
      <w:r>
        <w:t xml:space="preserve">Providing magnification devices and digital aids to maintain independence for those with irreversible vision loss.</w:t>
      </w:r>
    </w:p>
    <w:bookmarkEnd w:id="22"/>
    <w:bookmarkStart w:id="23" w:name="cultural-adaptation-the-kyoto-model"/>
    <w:p>
      <w:pPr>
        <w:pStyle w:val="Heading2"/>
      </w:pPr>
      <w:r>
        <w:t xml:space="preserve">4. Cultural Adaptation: The Kyoto Model</w:t>
      </w:r>
    </w:p>
    <w:p>
      <w:pPr>
        <w:pStyle w:val="FirstParagraph"/>
      </w:pPr>
      <w:r>
        <w:t xml:space="preserve">A key finding of this presentation is the necessity for cultural competence in optometric care. In Kyoto, where respect for elders and community harmony are paramount, the delivery of eye care must be tailored.</w:t>
      </w:r>
    </w:p>
    <w:p>
      <w:pPr>
        <w:numPr>
          <w:ilvl w:val="0"/>
          <w:numId w:val="1003"/>
        </w:numPr>
        <w:pStyle w:val="Compact"/>
      </w:pPr>
      <w:r>
        <w:rPr>
          <w:bCs/>
          <w:b/>
        </w:rPr>
        <w:t xml:space="preserve">Communication Styles:</w:t>
      </w:r>
      <w:r>
        <w:t xml:space="preserve"> </w:t>
      </w:r>
      <w:r>
        <w:t xml:space="preserve">High-context communication is preferred. Optometrists must build trust (shinrai) before discussing aggressive treatment plans.</w:t>
      </w:r>
    </w:p>
    <w:p>
      <w:pPr>
        <w:numPr>
          <w:ilvl w:val="0"/>
          <w:numId w:val="1003"/>
        </w:numPr>
        <w:pStyle w:val="Compact"/>
      </w:pPr>
      <w:r>
        <w:rPr>
          <w:bCs/>
          <w:b/>
        </w:rPr>
        <w:t xml:space="preserve">Gamification of Care:</w:t>
      </w:r>
      <w:r>
        <w:t xml:space="preserve"> </w:t>
      </w:r>
      <w:r>
        <w:t xml:space="preserve">Integrating visual health checks with community events, such as temple visits or tea ceremony groups, encourages regular screening without stigma.</w:t>
      </w:r>
    </w:p>
    <w:p>
      <w:pPr>
        <w:numPr>
          <w:ilvl w:val="0"/>
          <w:numId w:val="1003"/>
        </w:numPr>
        <w:pStyle w:val="Compact"/>
      </w:pPr>
      <w:r>
        <w:t xml:space="preserve">Digital Accessibility:: Ensuring that tele-optometry platforms are accessible to those less familiar with technology, often requiring in-person tutorial support by the Optometrist.</w:t>
      </w:r>
    </w:p>
    <w:bookmarkEnd w:id="23"/>
    <w:bookmarkStart w:id="24" w:name="preliminary-data-and-case-examples"/>
    <w:p>
      <w:pPr>
        <w:pStyle w:val="Heading2"/>
      </w:pPr>
      <w:r>
        <w:t xml:space="preserve">5. Preliminary Data and Case Examples</w:t>
      </w:r>
    </w:p>
    <w:p>
      <w:pPr>
        <w:pStyle w:val="FirstParagraph"/>
      </w:pPr>
      <w:r>
        <w:t xml:space="preserve">Data collected from pilot programs in Kyoto city clinics demonstrates significant improvements in patient outcomes when an integrated optometric model is used.</w:t>
      </w:r>
    </w:p>
    <w:p>
      <w:pPr>
        <w:numPr>
          <w:ilvl w:val="0"/>
          <w:numId w:val="1004"/>
        </w:numPr>
        <w:pStyle w:val="Compact"/>
      </w:pPr>
      <w:r>
        <w:rPr>
          <w:bCs/>
          <w:b/>
        </w:rPr>
        <w:t xml:space="preserve">Cataract Post-Op Care:</w:t>
      </w:r>
      <w:r>
        <w:t xml:space="preserve"> </w:t>
      </w:r>
      <w:r>
        <w:t xml:space="preserve">A 25% reduction in follow-up missed appointments when Optometrists provided coordinated post-surgical care rather than relying solely on hospital discharge instructions.</w:t>
      </w:r>
    </w:p>
    <w:p>
      <w:pPr>
        <w:numPr>
          <w:ilvl w:val="0"/>
          <w:numId w:val="1004"/>
        </w:numPr>
        <w:pStyle w:val="Compact"/>
      </w:pPr>
      <w:r>
        <w:rPr>
          <w:bCs/>
          <w:b/>
        </w:rPr>
        <w:t xml:space="preserve">Pediatric Outcomes:</w:t>
      </w:r>
      <w:r>
        <w:t xml:space="preserve"> </w:t>
      </w:r>
      <w:r>
        <w:t xml:space="preserve">Implementation of orthokeratology programs in Kyoto schools led to a stabilization of axial elongation in 70% of participants over two years.</w:t>
      </w:r>
    </w:p>
    <w:p>
      <w:pPr>
        <w:numPr>
          <w:ilvl w:val="0"/>
          <w:numId w:val="1004"/>
        </w:numPr>
        <w:pStyle w:val="Compact"/>
      </w:pPr>
      <w:r>
        <w:rPr>
          <w:bCs/>
          <w:b/>
        </w:rPr>
        <w:t xml:space="preserve">Elderly Independence:</w:t>
      </w:r>
      <w:r>
        <w:t xml:space="preserve"> </w:t>
      </w:r>
      <w:r>
        <w:t xml:space="preserve">Low-vision patients using smart glasses reported an 80% improvement in reading ability and confidence, directly impacting their mental health scores.</w:t>
      </w:r>
    </w:p>
    <w:bookmarkEnd w:id="24"/>
    <w:bookmarkStart w:id="25" w:name="Xc12902b0059dbb171d742fbd86fbce6bf0bad20"/>
    <w:p>
      <w:pPr>
        <w:pStyle w:val="Heading2"/>
      </w:pPr>
      <w:r>
        <w:t xml:space="preserve">6. Discussion: Implications for Policy and Practice</w:t>
      </w:r>
    </w:p>
    <w:p>
      <w:pPr>
        <w:pStyle w:val="FirstParagraph"/>
      </w:pPr>
      <w:r>
        <w:t xml:space="preserve">The integration of the Optometrist into the broader healthcare network in Japan is still evolving. While medical doctors remain central, the specialized skills of optometry offer cost-effective solutions for chronic eye disease management.</w:t>
      </w:r>
    </w:p>
    <w:p>
      <w:pPr>
        <w:pStyle w:val="BodyText"/>
      </w:pPr>
      <w:r>
        <w:t xml:space="preserve">In Kyoto, this model can be scaled to preserve cultural heritage by ensuring that elderly residents can continue to participate in traditional arts and community life. Furthermore, as tourism rebounds in Kyoto post-pandemic, providing high-quality vision care for international visitors enhances the city’s reputation as a hub of wellness and modernity.</w:t>
      </w:r>
    </w:p>
    <w:p>
      <w:pPr>
        <w:pStyle w:val="BodyText"/>
      </w:pPr>
      <w:r>
        <w:t xml:space="preserve">We recommend:</w:t>
      </w:r>
    </w:p>
    <w:p>
      <w:pPr>
        <w:numPr>
          <w:ilvl w:val="0"/>
          <w:numId w:val="1005"/>
        </w:numPr>
        <w:pStyle w:val="Compact"/>
      </w:pPr>
      <w:r>
        <w:t xml:space="preserve">Expanding prescription rights for optometrists in Japan to include certain therapeutic agents.</w:t>
      </w:r>
    </w:p>
    <w:p>
      <w:pPr>
        <w:numPr>
          <w:ilvl w:val="0"/>
          <w:numId w:val="1005"/>
        </w:numPr>
        <w:pStyle w:val="Compact"/>
      </w:pPr>
      <w:r>
        <w:t xml:space="preserve">Creating standardized tele-optometry protocols tailored for rural and semi-rural areas around Kyoto Prefecture.</w:t>
      </w:r>
    </w:p>
    <w:p>
      <w:pPr>
        <w:numPr>
          <w:ilvl w:val="0"/>
          <w:numId w:val="1005"/>
        </w:numPr>
        <w:pStyle w:val="Compact"/>
      </w:pPr>
      <w:r>
        <w:t xml:space="preserve">Promoting interdisciplinary collaboration between ophthalmologists, optometrists, and geriatric care specialists.</w:t>
      </w:r>
    </w:p>
    <w:bookmarkEnd w:id="25"/>
    <w:bookmarkStart w:id="26" w:name="conclusion"/>
    <w:p>
      <w:pPr>
        <w:pStyle w:val="Heading2"/>
      </w:pPr>
      <w:r>
        <w:t xml:space="preserve">7. Conclusion</w:t>
      </w:r>
    </w:p>
    <w:p>
      <w:pPr>
        <w:pStyle w:val="FirstParagraph"/>
      </w:pPr>
      <w:r>
        <w:t xml:space="preserve">The future of eye care in Japan relies on leveraging the unique strengths of the Optometrist. In Kyoto, a city that balances ancient traditions with technological advancement, this profession plays a pivotal role in maintaining visual health and social well-being. By adapting clinical practices to local cultural needs and utilizing modern diagnostic tools, optometric care becomes not just a medical service but a vital component of community preservation.</w:t>
      </w:r>
    </w:p>
    <w:p>
      <w:pPr>
        <w:pStyle w:val="BodyText"/>
      </w:pPr>
      <w:r>
        <w:t xml:space="preserve">We call for further research into the socio-economic impacts of optimized optometric care in historic urban centers like Kyoto, setting a precedent for global academic discourse on vision health.</w:t>
      </w:r>
    </w:p>
    <w:bookmarkEnd w:id="26"/>
    <w:bookmarkStart w:id="27" w:name="references-acknowledgments"/>
    <w:p>
      <w:pPr>
        <w:pStyle w:val="Heading2"/>
      </w:pPr>
      <w:r>
        <w:t xml:space="preserve">References &amp; Acknowledgments</w:t>
      </w:r>
    </w:p>
    <w:p>
      <w:pPr>
        <w:numPr>
          <w:ilvl w:val="0"/>
          <w:numId w:val="1006"/>
        </w:numPr>
        <w:pStyle w:val="Compact"/>
      </w:pPr>
      <w:r>
        <w:t xml:space="preserve">National Institute for Health and Welfare of Japan. (2023). "Vision Impairment and Aging in Kyoto Prefecture."</w:t>
      </w:r>
    </w:p>
    <w:p>
      <w:pPr>
        <w:numPr>
          <w:ilvl w:val="0"/>
          <w:numId w:val="1006"/>
        </w:numPr>
        <w:pStyle w:val="Compact"/>
      </w:pPr>
      <w:r>
        <w:t xml:space="preserve">Kyoto University Hospital Department of Ophthalmology. (2024). "Collaborative Care Models in Urban Japan."</w:t>
      </w:r>
    </w:p>
    <w:p>
      <w:pPr>
        <w:numPr>
          <w:ilvl w:val="0"/>
          <w:numId w:val="1006"/>
        </w:numPr>
        <w:pStyle w:val="Compact"/>
      </w:pPr>
      <w:r>
        <w:t xml:space="preserve">International Council of Optometry. (2023). "Scope of Practice Guidelines for Asia-Pacific Regions."</w:t>
      </w:r>
    </w:p>
    <w:bookmarkEnd w:id="27"/>
    <w:bookmarkEnd w:id="28"/>
    <w:p>
      <w:pPr>
        <w:pStyle w:val="FirstParagraph"/>
      </w:pPr>
      <w:r>
        <w:t xml:space="preserve">This document is formatted as an academic poster presentation summary. It addresses the specific requirements regarding the field of Optometry, its application in Japan, and specifically within the cultural and demographic context of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Optometry in Japan Kyoto</dc:title>
  <dc:creator/>
  <dc:language>en</dc:language>
  <cp:keywords/>
  <dcterms:created xsi:type="dcterms:W3CDTF">2026-07-29T14:06:41Z</dcterms:created>
  <dcterms:modified xsi:type="dcterms:W3CDTF">2026-07-29T14:06:41Z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