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Optometric</w:t>
      </w:r>
      <w:r>
        <w:t xml:space="preserve"> </w:t>
      </w:r>
      <w:r>
        <w:t xml:space="preserve">Practices</w:t>
      </w:r>
      <w:r>
        <w:t xml:space="preserve"> </w:t>
      </w:r>
      <w:r>
        <w:t xml:space="preserve">in</w:t>
      </w:r>
      <w:r>
        <w:t xml:space="preserve"> </w:t>
      </w:r>
      <w:r>
        <w:t xml:space="preserve">Russia</w:t>
      </w:r>
      <w:r>
        <w:t xml:space="preserve"> </w:t>
      </w:r>
      <w:r>
        <w:t xml:space="preserve">Moscow</w:t>
      </w:r>
    </w:p>
    <w:bookmarkStart w:id="20" w:name="Xe98d213952a24122e3bc97759f6c9f59d6c3dce"/>
    <w:p>
      <w:pPr>
        <w:pStyle w:val="Heading1"/>
      </w:pPr>
      <w:r>
        <w:t xml:space="preserve">Bridging Tradition and Technology in Vision Science</w:t>
      </w:r>
    </w:p>
    <w:p>
      <w:pPr>
        <w:pStyle w:val="FirstParagraph"/>
      </w:pPr>
      <w:r>
        <w:t xml:space="preserve">A Comprehensive Analysis of Modern Optometric Standards, Pathology Management, and Public Health Initiatives within the Russian Federation</w:t>
      </w:r>
    </w:p>
    <w:bookmarkEnd w:id="20"/>
    <w:p>
      <w:pPr>
        <w:pStyle w:val="BodyText"/>
      </w:pPr>
      <w:r>
        <w:rPr>
          <w:bCs/>
          <w:b/>
        </w:rPr>
        <w:t xml:space="preserve">Presentation Focus:</w:t>
      </w:r>
      <w:r>
        <w:t xml:space="preserve"> </w:t>
      </w:r>
      <w:r>
        <w:t xml:space="preserve">This academic poster presentation synthesizes current clinical data and public health strategies regarding the role of the</w:t>
      </w:r>
      <w:r>
        <w:t xml:space="preserve"> </w:t>
      </w:r>
      <w:r>
        <w:rPr>
          <w:bCs/>
          <w:b/>
        </w:rPr>
        <w:t xml:space="preserve">Optometrist</w:t>
      </w:r>
      <w:r>
        <w:t xml:space="preserve">. The primary geographical and regulatory context for this study is</w:t>
      </w:r>
      <w:r>
        <w:t xml:space="preserve"> </w:t>
      </w:r>
      <w:r>
        <w:rPr>
          <w:bCs/>
          <w:b/>
        </w:rPr>
        <w:t xml:space="preserve">Russia Moscow</w:t>
      </w:r>
      <w:r>
        <w:t xml:space="preserve">, examining how specialized eye care providers navigate a unique healthcare landscape to improve visual outcomes.</w:t>
      </w:r>
    </w:p>
    <w:bookmarkStart w:id="21" w:name="introduction-and-contextual-framework"/>
    <w:p>
      <w:pPr>
        <w:pStyle w:val="Heading2"/>
      </w:pPr>
      <w:r>
        <w:t xml:space="preserve">1. Introduction and Contextual Framework</w:t>
      </w:r>
    </w:p>
    <w:p>
      <w:pPr>
        <w:pStyle w:val="FirstParagraph"/>
      </w:pPr>
      <w:r>
        <w:t xml:space="preserve">The field of optometry has undergone significant transformation globally, shifting from simple refractive correction to comprehensive eye health management. In the specific context of</w:t>
      </w:r>
      <w:r>
        <w:t xml:space="preserve"> </w:t>
      </w:r>
      <w:r>
        <w:rPr>
          <w:bCs/>
          <w:b/>
        </w:rPr>
        <w:t xml:space="preserve">Russia Moscow</w:t>
      </w:r>
      <w:r>
        <w:t xml:space="preserve">, this transition is particularly pronounced. As the capital and a major metropolitan hub,</w:t>
      </w:r>
      <w:r>
        <w:t xml:space="preserve"> </w:t>
      </w:r>
      <w:r>
        <w:rPr>
          <w:bCs/>
          <w:b/>
        </w:rPr>
        <w:t xml:space="preserve">Russia Moscow</w:t>
      </w:r>
      <w:r>
        <w:t xml:space="preserve"> </w:t>
      </w:r>
      <w:r>
        <w:t xml:space="preserve">serves as a critical center for medical innovation in the Russian Federation. This presentation aims to delineate the evolving responsibilities of the professional</w:t>
      </w:r>
    </w:p>
    <w:p>
      <w:pPr>
        <w:pStyle w:val="BodyText"/>
      </w:pPr>
      <w:r>
        <w:t xml:space="preserve">Optometrist, highlighting how local practitioners integrate advanced diagnostic technologies with traditional ophthalmological protocols to address both common refractive errors and complex systemic eye diseases. Understanding this dynamic is crucial for international collaboration and for improving patient care standards in urban centers like</w:t>
      </w:r>
      <w:r>
        <w:t xml:space="preserve"> </w:t>
      </w:r>
      <w:r>
        <w:rPr>
          <w:bCs/>
          <w:b/>
        </w:rPr>
        <w:t xml:space="preserve">Russia Moscow</w:t>
      </w:r>
      <w:r>
        <w:t xml:space="preserve">.</w:t>
      </w:r>
    </w:p>
    <w:bookmarkEnd w:id="21"/>
    <w:bookmarkStart w:id="22" w:name="X9d965a927967bb123aaba908a541b831a33aebb"/>
    <w:p>
      <w:pPr>
        <w:pStyle w:val="Heading2"/>
      </w:pPr>
      <w:r>
        <w:t xml:space="preserve">2. Regulatory Environment and Professional Scope</w:t>
      </w:r>
    </w:p>
    <w:p>
      <w:pPr>
        <w:pStyle w:val="FirstParagraph"/>
      </w:pPr>
      <w:r>
        <w:t xml:space="preserve">A fundamental aspect of this study is the regulatory framework governing eye care professionals. In many Western jurisdictions, optometrists hold primary vision care status. However, in the healthcare system of</w:t>
      </w:r>
      <w:r>
        <w:t xml:space="preserve"> </w:t>
      </w:r>
      <w:r>
        <w:rPr>
          <w:bCs/>
          <w:b/>
        </w:rPr>
        <w:t xml:space="preserve">Russia Moscow</w:t>
      </w:r>
      <w:r>
        <w:t xml:space="preserve">, the distinction between ophthalmologists and optometrists requires careful navigation. This poster explores how modern</w:t>
      </w:r>
    </w:p>
    <w:p>
      <w:pPr>
        <w:pStyle w:val="BodyText"/>
      </w:pPr>
      <w:r>
        <w:t xml:space="preserve">Optometrist practitioners in this region often operate within a collaborative framework with medical doctors (ophthalmologists). The presentation details the educational pathways required to become a certified specialist in</w:t>
      </w:r>
      <w:r>
        <w:t xml:space="preserve"> </w:t>
      </w:r>
      <w:r>
        <w:rPr>
          <w:bCs/>
          <w:b/>
        </w:rPr>
        <w:t xml:space="preserve">Russia Moscow</w:t>
      </w:r>
      <w:r>
        <w:t xml:space="preserve">, emphasizing the rigorous academic training that equips these professionals to manage ocular health. It further analyzes how recent policy shifts in the Russian healthcare sector are gradually expanding the diagnostic authority of optometric staff, aiming to alleviate pressure on hospital-based ophthalmology departments.</w:t>
      </w:r>
    </w:p>
    <w:bookmarkEnd w:id="22"/>
    <w:bookmarkStart w:id="23" w:name="X97b2e70db7e826a9d996640fef3c862add19e42"/>
    <w:p>
      <w:pPr>
        <w:pStyle w:val="Heading2"/>
      </w:pPr>
      <w:r>
        <w:t xml:space="preserve">3. Clinical Focus: Myopia Management and Digital Eye Strain</w:t>
      </w:r>
    </w:p>
    <w:p>
      <w:pPr>
        <w:pStyle w:val="FirstParagraph"/>
      </w:pPr>
      <w:r>
        <w:t xml:space="preserve">One of the most pressing challenges facing eye care professionals in</w:t>
      </w:r>
      <w:r>
        <w:t xml:space="preserve"> </w:t>
      </w:r>
      <w:r>
        <w:rPr>
          <w:bCs/>
          <w:b/>
        </w:rPr>
        <w:t xml:space="preserve">Russia Moscow</w:t>
      </w:r>
      <w:r>
        <w:t xml:space="preserve">, as in many other major global cities, is the rising prevalence of myopia (nearsightedness) and digital eye strain. This section presents data collected from private and state clinics across</w:t>
      </w:r>
    </w:p>
    <w:p>
      <w:pPr>
        <w:pStyle w:val="BodyText"/>
      </w:pPr>
      <w:r>
        <w:t xml:space="preserve">Russia Moscow, illustrating the demographic shift toward earlier onset of refractive errors among school-aged children. The role of the</w:t>
      </w:r>
    </w:p>
    <w:p>
      <w:pPr>
        <w:pStyle w:val="BodyText"/>
      </w:pPr>
      <w:r>
        <w:t xml:space="preserve">Optometrist in implementing myopia control strategies, such as orthokeratology and low-dose atropine therapy, is critically evaluated. Furthermore, given the high digital literacy and tech-driven lifestyle in</w:t>
      </w:r>
    </w:p>
    <w:p>
      <w:pPr>
        <w:pStyle w:val="BodyText"/>
      </w:pPr>
      <w:r>
        <w:t xml:space="preserve">Russia Moscow, this poster highlights specific interventions for Computer Vision Syndrome. We present case studies demonstrating how tailored optometric care plans can mitigate symptoms associated with prolonged screen time, a significant public health concern in this specific geographic and cultural context.</w:t>
      </w:r>
    </w:p>
    <w:bookmarkEnd w:id="23"/>
    <w:bookmarkStart w:id="24" w:name="X6ada052932fb23aa86ba0476c004512334f3818"/>
    <w:p>
      <w:pPr>
        <w:pStyle w:val="Heading2"/>
      </w:pPr>
      <w:r>
        <w:t xml:space="preserve">4. Technological Integration and Diagnostic Advances</w:t>
      </w:r>
    </w:p>
    <w:p>
      <w:pPr>
        <w:pStyle w:val="FirstParagraph"/>
      </w:pPr>
      <w:r>
        <w:t xml:space="preserve">The efficacy of an</w:t>
      </w:r>
    </w:p>
    <w:p>
      <w:pPr>
        <w:pStyle w:val="BodyText"/>
      </w:pPr>
      <w:r>
        <w:t xml:space="preserve">Optometrist is often dependent on the availability of advanced diagnostic tools. This segment of the poster focuses on the adoption rates of cutting-edge technology in</w:t>
      </w:r>
    </w:p>
    <w:p>
      <w:pPr>
        <w:pStyle w:val="BodyText"/>
      </w:pPr>
      <w:r>
        <w:t xml:space="preserve">Russia Moscow. We examine the integration Optical Coherence Tomography (OCT), retinal fundus cameras, and automated refraction systems into routine practice. The analysis reveals a growing trend where private optometric centers in</w:t>
      </w:r>
    </w:p>
    <w:p>
      <w:pPr>
        <w:pStyle w:val="BodyText"/>
      </w:pPr>
      <w:r>
        <w:t xml:space="preserve">Russia Moscow are leading the adoption of these technologies, offering diagnostic capabilities comparable to international standards. This technological empowerment allows the</w:t>
      </w:r>
    </w:p>
    <w:p>
      <w:pPr>
        <w:pStyle w:val="BodyText"/>
      </w:pPr>
      <w:r>
        <w:t xml:space="preserve">Optometrist to detect early signs of glaucoma, diabetic retinopathy, and macular degeneration more effectively. The poster includes visual data comparing diagnostic accuracy and patient throughput in clinics equipped with modern vs. traditional technology sets within the Moscow region.</w:t>
      </w:r>
    </w:p>
    <w:bookmarkEnd w:id="24"/>
    <w:bookmarkStart w:id="25" w:name="Xfa9de3dfc6dfc2ce3dfd6f1f354acdbf9628baa"/>
    <w:p>
      <w:pPr>
        <w:pStyle w:val="Heading2"/>
      </w:pPr>
      <w:r>
        <w:t xml:space="preserve">5. Public Health Initiatives and Community Outreach</w:t>
      </w:r>
    </w:p>
    <w:p>
      <w:pPr>
        <w:pStyle w:val="FirstParagraph"/>
      </w:pPr>
      <w:r>
        <w:t xml:space="preserve">Beyond individual patient care, this presentation addresses the broader public health impact of optometric services in</w:t>
      </w:r>
    </w:p>
    <w:p>
      <w:pPr>
        <w:pStyle w:val="BodyText"/>
      </w:pPr>
      <w:r>
        <w:t xml:space="preserve">Russia Moscow. Eye health is intrinsically linked to overall systemic health, particularly regarding diabetes and hypertension. We discuss community screening programs led by</w:t>
      </w:r>
    </w:p>
    <w:p>
      <w:pPr>
        <w:pStyle w:val="BodyText"/>
      </w:pPr>
      <w:r>
        <w:t xml:space="preserve">Optometrist teams in collaboration with local government bodies in</w:t>
      </w:r>
    </w:p>
    <w:p>
      <w:pPr>
        <w:pStyle w:val="BodyText"/>
      </w:pPr>
      <w:r>
        <w:t xml:space="preserve">Russia Moscow. These initiatives aim to increase awareness about preventable blindness and promote regular eye examinations. The poster outlines specific outreach strategies that have been successful in engaging diverse demographics within the city, including elderly populations vulnerable to age-related macular degeneration and younger workers suffering from occupational visual stress. These programs underscore the proactive role of the</w:t>
      </w:r>
    </w:p>
    <w:p>
      <w:pPr>
        <w:pStyle w:val="BodyText"/>
      </w:pPr>
      <w:r>
        <w:t xml:space="preserve">Optometrist as a public health educator and advocate.</w:t>
      </w:r>
    </w:p>
    <w:bookmarkEnd w:id="25"/>
    <w:bookmarkStart w:id="26" w:name="X4f39bcaeb5f8531be1a3777f0e05aec4602d29c"/>
    <w:p>
      <w:pPr>
        <w:pStyle w:val="Heading2"/>
      </w:pPr>
      <w:r>
        <w:t xml:space="preserve">6. Challenges, Barriers, and Future Directions</w:t>
      </w:r>
    </w:p>
    <w:p>
      <w:pPr>
        <w:pStyle w:val="FirstParagraph"/>
      </w:pPr>
      <w:r>
        <w:t xml:space="preserve">Despite progress, significant challenges remain for the profession of optometry in</w:t>
      </w:r>
    </w:p>
    <w:p>
      <w:pPr>
        <w:pStyle w:val="BodyText"/>
      </w:pPr>
      <w:r>
        <w:t xml:space="preserve">Russia Moscow. This section critically analyzes barriers such as public awareness gaps, reimbursement issues within mandatory health insurance schemes (OMS), and the need for standardized continuing education. It is essential to note that while urban centers like</w:t>
      </w:r>
    </w:p>
    <w:p>
      <w:pPr>
        <w:pStyle w:val="BodyText"/>
      </w:pPr>
      <w:r>
        <w:t xml:space="preserve">Russia Moscow have robust resources, rural areas within the broader region often face shortages of specialized eye care professionals. The poster proposes future directions for policy reform and professional development in</w:t>
      </w:r>
    </w:p>
    <w:p>
      <w:pPr>
        <w:pStyle w:val="BodyText"/>
      </w:pPr>
      <w:r>
        <w:t xml:space="preserve">Russia Moscow, advocating for a clearer legal definition of optometric scope of practice. It suggests that strengthening the role of the</w:t>
      </w:r>
    </w:p>
    <w:p>
      <w:pPr>
        <w:pStyle w:val="BodyText"/>
      </w:pPr>
      <w:r>
        <w:t xml:space="preserve">Optometrist can lead to more efficient healthcare delivery, reduced costs, and improved long-term visual outcomes for residents.</w:t>
      </w:r>
    </w:p>
    <w:bookmarkEnd w:id="26"/>
    <w:bookmarkStart w:id="27" w:name="conclusion"/>
    <w:p>
      <w:pPr>
        <w:pStyle w:val="Heading2"/>
      </w:pPr>
      <w:r>
        <w:t xml:space="preserve">7. Conclusion</w:t>
      </w:r>
    </w:p>
    <w:p>
      <w:pPr>
        <w:pStyle w:val="FirstParagraph"/>
      </w:pPr>
      <w:r>
        <w:t xml:space="preserve">In summary, the role of the</w:t>
      </w:r>
    </w:p>
    <w:p>
      <w:pPr>
        <w:pStyle w:val="BodyText"/>
      </w:pPr>
      <w:r>
        <w:t xml:space="preserve">Optometrist in</w:t>
      </w:r>
    </w:p>
    <w:p>
      <w:pPr>
        <w:pStyle w:val="BodyText"/>
      </w:pPr>
      <w:r>
        <w:t xml:space="preserve">Russia Moscow is expanding rapidly, driven by technological advancement and increasing public demand for comprehensive vision care. This poster presentation has highlighted the critical intersection of clinical excellence, regulatory evolution, and public health strategy specific to this region. By addressing local challenges such as myopia epidemics and digital eye strain, while leveraging advanced diagnostic tools, optometric professionals in</w:t>
      </w:r>
    </w:p>
    <w:p>
      <w:pPr>
        <w:pStyle w:val="BodyText"/>
      </w:pPr>
      <w:r>
        <w:t xml:space="preserve">Russia Moscow are setting new standards for eye care in the Russian Federation. Continued collaboration between academic institutions, clinical practitioners, and policymakers is essential to fully realize the potential of this profession. The future of eye health in</w:t>
      </w:r>
    </w:p>
    <w:p>
      <w:pPr>
        <w:pStyle w:val="BodyText"/>
      </w:pPr>
      <w:r>
        <w:t xml:space="preserve">Russia Moscow depends on empowering the</w:t>
      </w:r>
    </w:p>
    <w:p>
      <w:pPr>
        <w:pStyle w:val="BodyText"/>
      </w:pPr>
      <w:r>
        <w:t xml:space="preserve">Optometrist with greater recognition and resources, ensuring that high-quality vision care is accessible to all citizens.</w:t>
      </w:r>
    </w:p>
    <w:bookmarkEnd w:id="27"/>
    <w:bookmarkStart w:id="28" w:name="references-and-key-readings"/>
    <w:p>
      <w:pPr>
        <w:pStyle w:val="Heading2"/>
      </w:pPr>
      <w:r>
        <w:t xml:space="preserve">8. References and Key Readings</w:t>
      </w:r>
    </w:p>
    <w:p>
      <w:pPr>
        <w:pStyle w:val="FirstParagraph"/>
      </w:pPr>
      <w:r>
        <w:t xml:space="preserve">This academic poster relies on a synthesis of recent clinical trials, governmental health reports from the Russian Ministry of Health, and international optometric guidelines adapted for the local context. Selected references include studies on myopia progression in urban Asian and Eastern European populations, regulatory frameworks for eye care professionals in post-Soviet states, and technological assessments of diagnostic equipment availability in major metropolitan areas like</w:t>
      </w:r>
    </w:p>
    <w:p>
      <w:pPr>
        <w:pStyle w:val="BodyText"/>
      </w:pPr>
      <w:r>
        <w:t xml:space="preserve">Russia Moscow. These resources provide the empirical foundation for the arguments presented regarding the modernization of optometry within this specific geographic locale.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Optometric Practices in Russia Moscow</dc:title>
  <dc:creator/>
  <dc:language>en</dc:language>
  <cp:keywords/>
  <dcterms:created xsi:type="dcterms:W3CDTF">2026-07-29T09:40:21Z</dcterms:created>
  <dcterms:modified xsi:type="dcterms:W3CDTF">2026-07-29T09:40:21Z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