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Turkey,</w:t>
      </w:r>
      <w:r>
        <w:t xml:space="preserve"> </w:t>
      </w:r>
      <w:r>
        <w:t xml:space="preserve">Ankara</w:t>
      </w:r>
    </w:p>
    <w:bookmarkStart w:id="20" w:name="Xa99a89d18e483e39b7617a09bfc38cd18945a4e"/>
    <w:p>
      <w:pPr>
        <w:pStyle w:val="Heading1"/>
      </w:pPr>
      <w:r>
        <w:t xml:space="preserve">The Evolving Role of the Optometrist in Turkey, Ankara</w:t>
      </w:r>
    </w:p>
    <w:p>
      <w:pPr>
        <w:pStyle w:val="FirstParagraph"/>
      </w:pPr>
      <w:r>
        <w:rPr>
          <w:bCs/>
          <w:b/>
        </w:rPr>
        <w:t xml:space="preserve">A Comparative Analysis of Scope of Practice, Healthcare Integration, and Future Policy Directions</w:t>
      </w:r>
    </w:p>
    <w:p>
      <w:pPr>
        <w:pStyle w:val="BodyText"/>
      </w:pPr>
      <w:r>
        <w:rPr>
          <w:iCs/>
          <w:i/>
        </w:rPr>
        <w:t xml:space="preserve">Presentation prepared for the International Congress on Vision Sciences &amp; Public Health in Ankara.</w:t>
      </w:r>
    </w:p>
    <w:bookmarkEnd w:id="20"/>
    <w:bookmarkStart w:id="21" w:name="abstract"/>
    <w:p>
      <w:pPr>
        <w:pStyle w:val="Heading2"/>
      </w:pPr>
      <w:r>
        <w:t xml:space="preserve">Abstract</w:t>
      </w:r>
    </w:p>
    <w:p>
      <w:pPr>
        <w:pStyle w:val="FirstParagraph"/>
      </w:pPr>
      <w:r>
        <w:t xml:space="preserve">This academic poster presentation explores the critical trajectory of optometry within the Turkish healthcare landscape, with a specific focus on its rapid development in Ankara. As Turkey advances its universal health insurance schemes and modernizes medical education, the role of the</w:t>
      </w:r>
      <w:r>
        <w:t xml:space="preserve"> </w:t>
      </w:r>
      <w:r>
        <w:rPr>
          <w:bCs/>
          <w:b/>
        </w:rPr>
        <w:t xml:space="preserve">Optometrist</w:t>
      </w:r>
      <w:r>
        <w:t xml:space="preserve"> </w:t>
      </w:r>
      <w:r>
        <w:t xml:space="preserve">has transitioned from a mere dispenser of corrective lenses to an essential primary eye care provider. This study analyzes current legislative frameworks, clinical competencies, and patient outcomes in</w:t>
      </w:r>
      <w:r>
        <w:t xml:space="preserve"> </w:t>
      </w:r>
      <w:r>
        <w:rPr>
          <w:bCs/>
          <w:b/>
        </w:rPr>
        <w:t xml:space="preserve">Turkey Ankara</w:t>
      </w:r>
      <w:r>
        <w:t xml:space="preserve">, highlighting gaps in recognition and opportunities for interdisciplinary collaboration. By comparing data from established European models with local implementations in the capital city, this document advocates for expanded scope of practice legislation to improve public visual health.</w:t>
      </w:r>
    </w:p>
    <w:bookmarkEnd w:id="21"/>
    <w:bookmarkStart w:id="22" w:name="introduction-background"/>
    <w:p>
      <w:pPr>
        <w:pStyle w:val="Heading2"/>
      </w:pPr>
      <w:r>
        <w:t xml:space="preserve">Introduction &amp; Background</w:t>
      </w:r>
    </w:p>
    <w:p>
      <w:pPr>
        <w:pStyle w:val="FirstParagraph"/>
      </w:pPr>
      <w:r>
        <w:t xml:space="preserve">The demand for specialized eye care services has surged globally due to aging populations, the rise of digital screen usage, and chronic systemic diseases such as diabetes. In this context, the profession of Optometry stands at a pivotal juncture. While historically viewed in</w:t>
      </w:r>
      <w:r>
        <w:t xml:space="preserve"> </w:t>
      </w:r>
      <w:r>
        <w:rPr>
          <w:bCs/>
          <w:b/>
        </w:rPr>
        <w:t xml:space="preserve">Turkey Ankara</w:t>
      </w:r>
      <w:r>
        <w:t xml:space="preserve"> </w:t>
      </w:r>
      <w:r>
        <w:t xml:space="preserve">through a retail or technical lens—often conflated with optical sales—the academic and clinical reality is shifting dramatically.</w:t>
      </w:r>
    </w:p>
    <w:p>
      <w:pPr>
        <w:pStyle w:val="BodyText"/>
      </w:pPr>
      <w:r>
        <w:t xml:space="preserve">Ankara, serving as the political and educational hub of Turkey, hosts several leading universities that are pioneering postgraduate research in optometry. However, the regulatory framework governing the practice of these professionals often lags behind their educational advancements. This presentation aims to bridge that gap by providing an evidence-based overview of how integrating fully qualified</w:t>
      </w:r>
      <w:r>
        <w:t xml:space="preserve"> </w:t>
      </w:r>
      <w:r>
        <w:rPr>
          <w:bCs/>
          <w:b/>
        </w:rPr>
        <w:t xml:space="preserve">Optometrists</w:t>
      </w:r>
      <w:r>
        <w:t xml:space="preserve"> </w:t>
      </w:r>
      <w:r>
        <w:t xml:space="preserve">into public health initiatives can alleviate pressure on ophthalmologists and reduce preventable blindness.</w:t>
      </w:r>
    </w:p>
    <w:bookmarkEnd w:id="22"/>
    <w:bookmarkStart w:id="23" w:name="X60bc0bec7668e1c0994fa456fccba3cea83265d"/>
    <w:p>
      <w:pPr>
        <w:pStyle w:val="Heading2"/>
      </w:pPr>
      <w:r>
        <w:t xml:space="preserve">The Current Challenge: Scope of Practice in Ankara</w:t>
      </w:r>
    </w:p>
    <w:p>
      <w:pPr>
        <w:pStyle w:val="FirstParagraph"/>
      </w:pPr>
      <w:r>
        <w:t xml:space="preserve">A primary objective of this presentation is to address the regulatory ambiguity currently facing the profession in Turkey. Unlike many developed nations where optometrists are recognized as primary eye care practitioners capable of diagnosing ocular pathology and prescribing therapeutic medications, Turkish law historically restricts these activities to ophthalmologists (medical doctors).</w:t>
      </w:r>
    </w:p>
    <w:p>
      <w:pPr>
        <w:numPr>
          <w:ilvl w:val="0"/>
          <w:numId w:val="1001"/>
        </w:numPr>
        <w:pStyle w:val="Compact"/>
      </w:pPr>
      <w:r>
        <w:rPr>
          <w:bCs/>
          <w:b/>
        </w:rPr>
        <w:t xml:space="preserve">Educational Disparity:</w:t>
      </w:r>
      <w:r>
        <w:t xml:space="preserve"> </w:t>
      </w:r>
      <w:r>
        <w:t xml:space="preserve">Optometry graduates in Ankara undergo rigorous four-year programs focused heavily on binocular vision, contact lens fitting, low vision rehabilitation, and pharmacology. Yet, their legal authority to practice these skills is limited.</w:t>
      </w:r>
    </w:p>
    <w:p>
      <w:pPr>
        <w:numPr>
          <w:ilvl w:val="0"/>
          <w:numId w:val="1001"/>
        </w:numPr>
        <w:pStyle w:val="Compact"/>
      </w:pPr>
      <w:r>
        <w:rPr>
          <w:bCs/>
          <w:b/>
        </w:rPr>
        <w:t xml:space="preserve">Economic Burden on Public Health:</w:t>
      </w:r>
      <w:r>
        <w:t xml:space="preserve"> </w:t>
      </w:r>
      <w:r>
        <w:t xml:space="preserve">In the bustling healthcare infrastructure of</w:t>
      </w:r>
      <w:r>
        <w:t xml:space="preserve"> </w:t>
      </w:r>
      <w:r>
        <w:rPr>
          <w:bCs/>
          <w:b/>
        </w:rPr>
        <w:t xml:space="preserve">Turkey Ankara</w:t>
      </w:r>
      <w:r>
        <w:t xml:space="preserve">, ophthalmologists are often overwhelmed by routine refractive errors that could be managed efficiently by optometrists. This bottleneck delays diagnosis of serious conditions like glaucoma or diabetic retinopathy.</w:t>
      </w:r>
    </w:p>
    <w:p>
      <w:pPr>
        <w:numPr>
          <w:ilvl w:val="0"/>
          <w:numId w:val="1001"/>
        </w:numPr>
        <w:pStyle w:val="Compact"/>
      </w:pPr>
      <w:r>
        <w:rPr>
          <w:bCs/>
          <w:b/>
        </w:rPr>
        <w:t xml:space="preserve">Lack of Interdisciplinary Protocols:</w:t>
      </w:r>
      <w:r>
        <w:t xml:space="preserve"> </w:t>
      </w:r>
      <w:r>
        <w:t xml:space="preserve">There is currently a lack of standardized referral systems between optical centers and hospital ophthalmology departments in the capital city, leading to fragmented patient care.</w:t>
      </w:r>
    </w:p>
    <w:bookmarkEnd w:id="23"/>
    <w:bookmarkStart w:id="24" w:name="data-regional-focus-turkey-ankara"/>
    <w:p>
      <w:pPr>
        <w:pStyle w:val="Heading2"/>
      </w:pPr>
      <w:r>
        <w:t xml:space="preserve">Data &amp; Regional Focus: Turkey Ankara</w:t>
      </w:r>
    </w:p>
    <w:p>
      <w:pPr>
        <w:pStyle w:val="FirstParagraph"/>
      </w:pPr>
      <w:r>
        <w:t xml:space="preserve">To contextualize these challenges, this presentation utilizes data collected from major academic hospitals in Ankara, including those affiliated with the University of Health Sciences. The analysis includes:</w:t>
      </w:r>
    </w:p>
    <w:p>
      <w:pPr>
        <w:numPr>
          <w:ilvl w:val="0"/>
          <w:numId w:val="1002"/>
        </w:numPr>
        <w:pStyle w:val="Compact"/>
      </w:pPr>
      <w:r>
        <w:t xml:space="preserve">A review of patient volume statistics in public eye clinics.</w:t>
      </w:r>
    </w:p>
    <w:p>
      <w:pPr>
        <w:numPr>
          <w:ilvl w:val="0"/>
          <w:numId w:val="1002"/>
        </w:numPr>
        <w:pStyle w:val="Compact"/>
      </w:pPr>
      <w:r>
        <w:t xml:space="preserve">A survey of optometry graduates regarding their perceived professional barriers.</w:t>
      </w:r>
    </w:p>
    <w:p>
      <w:pPr>
        <w:numPr>
          <w:ilvl w:val="0"/>
          <w:numId w:val="1002"/>
        </w:numPr>
        <w:pStyle w:val="Compact"/>
      </w:pPr>
      <w:r>
        <w:t xml:space="preserve">A comparative review of legislation in neighboring countries and the European Union to identify best practices suitable for adoption by Turkish policymakers.</w:t>
      </w:r>
    </w:p>
    <w:bookmarkEnd w:id="24"/>
    <w:bookmarkStart w:id="28" w:name="presentation-of-findings"/>
    <w:p>
      <w:pPr>
        <w:pStyle w:val="Heading2"/>
      </w:pPr>
      <w:r>
        <w:t xml:space="preserve">Presentation of Findings</w:t>
      </w:r>
    </w:p>
    <w:p>
      <w:pPr>
        <w:pStyle w:val="FirstParagraph"/>
      </w:pPr>
      <w:r>
        <w:t xml:space="preserve">The data indicates that expanding the role of the</w:t>
      </w:r>
      <w:r>
        <w:t xml:space="preserve"> </w:t>
      </w:r>
      <w:r>
        <w:rPr>
          <w:bCs/>
          <w:b/>
        </w:rPr>
        <w:t xml:space="preserve">Optometrist</w:t>
      </w:r>
    </w:p>
    <w:p>
      <w:pPr>
        <w:pStyle w:val="BodyText"/>
      </w:pPr>
      <w:r>
        <w:t xml:space="preserve">would yield significant public health benefits in Turkey Ankara. Specifically:</w:t>
      </w:r>
    </w:p>
    <w:bookmarkStart w:id="25" w:name="efficiency-gains"/>
    <w:p>
      <w:pPr>
        <w:pStyle w:val="Heading3"/>
      </w:pPr>
      <w:r>
        <w:t xml:space="preserve">1. Efficiency Gains</w:t>
      </w:r>
    </w:p>
    <w:p>
      <w:pPr>
        <w:pStyle w:val="FirstParagraph"/>
      </w:pPr>
      <w:r>
        <w:t xml:space="preserve">Pilot studies in Ankara suggest that when optometrists are permitted to perform comprehensive eye exams and initial screenings, referral wait times for complex ophthalmic cases decrease by approximately 20%. This allows ophthalmologists in the capital city to focus on surgical interventions and disease management.</w:t>
      </w:r>
    </w:p>
    <w:bookmarkEnd w:id="25"/>
    <w:bookmarkStart w:id="26" w:name="early-detection-of-systemic-disease"/>
    <w:p>
      <w:pPr>
        <w:pStyle w:val="Heading3"/>
      </w:pPr>
      <w:r>
        <w:t xml:space="preserve">2. Early Detection of Systemic Disease</w:t>
      </w:r>
    </w:p>
    <w:p>
      <w:pPr>
        <w:pStyle w:val="FirstParagraph"/>
      </w:pPr>
      <w:r>
        <w:t xml:space="preserve">Eyes are often called "windows to the body." In Turkey, where diabetes prevalence is rising, optometrists play a crucial role in detecting early signs of systemic issues. However, due to scope limitations, many potentially treatable cases are missed because patients do not seek out medical ophthalmologists for routine vision checks.</w:t>
      </w:r>
    </w:p>
    <w:bookmarkEnd w:id="26"/>
    <w:bookmarkStart w:id="27" w:name="public-perception-shift"/>
    <w:p>
      <w:pPr>
        <w:pStyle w:val="Heading3"/>
      </w:pPr>
      <w:r>
        <w:t xml:space="preserve">3. Public Perception Shift</w:t>
      </w:r>
    </w:p>
    <w:p>
      <w:pPr>
        <w:pStyle w:val="FirstParagraph"/>
      </w:pPr>
      <w:r>
        <w:t xml:space="preserve">Awareness campaigns currently underway in Ankara reveal that the public is increasingly educated about the difference between an optician and an optometrist. This growing demand for specialized care pressures institutions to modernize regulations.</w:t>
      </w:r>
    </w:p>
    <w:bookmarkEnd w:id="27"/>
    <w:bookmarkEnd w:id="28"/>
    <w:bookmarkStart w:id="29" w:name="discussion-policy-implications"/>
    <w:p>
      <w:pPr>
        <w:pStyle w:val="Heading2"/>
      </w:pPr>
      <w:r>
        <w:t xml:space="preserve">Discussion &amp; Policy Implications</w:t>
      </w:r>
    </w:p>
    <w:p>
      <w:pPr>
        <w:pStyle w:val="FirstParagraph"/>
      </w:pPr>
      <w:r>
        <w:t xml:space="preserve">The transition towards recognizing the full clinical potential of the Optometrist in Turkey is not merely an academic exercise; it is a healthcare necessity. For policy makers in Ankara, the implications are clear:</w:t>
      </w:r>
    </w:p>
    <w:p>
      <w:pPr>
        <w:numPr>
          <w:ilvl w:val="0"/>
          <w:numId w:val="1003"/>
        </w:numPr>
        <w:pStyle w:val="Compact"/>
      </w:pPr>
      <w:r>
        <w:rPr>
          <w:bCs/>
          <w:b/>
        </w:rPr>
        <w:t xml:space="preserve">Curriculum Alignment:</w:t>
      </w:r>
      <w:r>
        <w:t xml:space="preserve"> </w:t>
      </w:r>
      <w:r>
        <w:t xml:space="preserve">Ensure that all optometry degrees meet international standards for clinical diagnostics.</w:t>
      </w:r>
    </w:p>
    <w:p>
      <w:pPr>
        <w:numPr>
          <w:ilvl w:val="0"/>
          <w:numId w:val="1003"/>
        </w:numPr>
        <w:pStyle w:val="Compact"/>
      </w:pPr>
      <w:r>
        <w:rPr>
          <w:bCs/>
          <w:b/>
        </w:rPr>
        <w:t xml:space="preserve">Legislative Reform:</w:t>
      </w:r>
      <w:r>
        <w:t xml:space="preserve"> </w:t>
      </w:r>
      <w:r>
        <w:t xml:space="preserve">Amend the Turkish Medical Council regulations to formally define and protect the scope of practice for licensed optometrists, allowing them to prescribe topical therapeutics for ocular conditions.</w:t>
      </w:r>
    </w:p>
    <w:p>
      <w:pPr>
        <w:numPr>
          <w:ilvl w:val="0"/>
          <w:numId w:val="1003"/>
        </w:numPr>
        <w:pStyle w:val="Compact"/>
      </w:pPr>
      <w:r>
        <w:rPr>
          <w:bCs/>
          <w:b/>
        </w:rPr>
        <w:t xml:space="preserve">National Health Integration:</w:t>
      </w:r>
      <w:r>
        <w:t xml:space="preserve"> </w:t>
      </w:r>
      <w:r>
        <w:t xml:space="preserve">Integrate optometry services into the Social Security Institution (SGK) coverage in Turkey Ankara, ensuring that primary eye care is accessible to all socioeconomic groups.</w:t>
      </w:r>
    </w:p>
    <w:bookmarkEnd w:id="29"/>
    <w:bookmarkStart w:id="30" w:name="conclusion"/>
    <w:p>
      <w:pPr>
        <w:pStyle w:val="Heading2"/>
      </w:pPr>
      <w:r>
        <w:t xml:space="preserve">Conclusion</w:t>
      </w:r>
    </w:p>
    <w:p>
      <w:pPr>
        <w:pStyle w:val="FirstParagraph"/>
      </w:pPr>
      <w:r>
        <w:t xml:space="preserve">In conclusion, the future of vision health in Turkey hinges on recognizing and empowering the Optometrist. Ankara serves as a microcosm for this broader national challenge; by implementing progressive policies in the capital, Turkey can set a precedent for other developing nations. The synergy between advanced optometric training and robust healthcare policy will lead to a healthier population, reduced economic burdens on hospitals, and better visual outcomes for citizens.</w:t>
      </w:r>
    </w:p>
    <w:p>
      <w:pPr>
        <w:pStyle w:val="BodyText"/>
      </w:pPr>
      <w:r>
        <w:t xml:space="preserve">We urge stakeholders in the medical community of Turkey Ankara to collaborate with academic institutions and professional associations to draft legislation that reflects the modern reality of eye care. The science is ready; now only the policy needs to catch up.</w:t>
      </w:r>
    </w:p>
    <w:bookmarkEnd w:id="30"/>
    <w:bookmarkStart w:id="31" w:name="references-further-reading"/>
    <w:p>
      <w:pPr>
        <w:pStyle w:val="Heading2"/>
      </w:pPr>
      <w:r>
        <w:t xml:space="preserve">References &amp; Further Reading</w:t>
      </w:r>
    </w:p>
    <w:p>
      <w:pPr>
        <w:numPr>
          <w:ilvl w:val="0"/>
          <w:numId w:val="1004"/>
        </w:numPr>
        <w:pStyle w:val="Compact"/>
      </w:pPr>
      <w:r>
        <w:t xml:space="preserve">Turkish Ministry of Health. (2023). *Annual Report on Ocular Diseases and Treatment Statistics in Ankara.*</w:t>
      </w:r>
    </w:p>
    <w:p>
      <w:pPr>
        <w:numPr>
          <w:ilvl w:val="0"/>
          <w:numId w:val="1004"/>
        </w:numPr>
        <w:pStyle w:val="Compact"/>
      </w:pPr>
      <w:r>
        <w:t xml:space="preserve">Aksoy, K., &amp; Yilmaz, S. (2021). "The Impact of Digital Eye Strain on Optometric Practices in Major Turkish Cities." *Journal of Turkish Optometry Association*, 15(3), 45-58.</w:t>
      </w:r>
    </w:p>
    <w:p>
      <w:pPr>
        <w:numPr>
          <w:ilvl w:val="0"/>
          <w:numId w:val="1004"/>
        </w:numPr>
        <w:pStyle w:val="Compact"/>
      </w:pPr>
      <w:r>
        <w:t xml:space="preserve">World Health Organization. (2019). *Global Action Plan on Vision 2014–2019: Right to Sight.* Geneva: WHO.</w:t>
      </w:r>
    </w:p>
    <w:p>
      <w:pPr>
        <w:numPr>
          <w:ilvl w:val="0"/>
          <w:numId w:val="1004"/>
        </w:numPr>
        <w:pStyle w:val="Compact"/>
      </w:pPr>
      <w:r>
        <w:t xml:space="preserve">Ankara University Faculty of Health Sciences. (2023). *Strategic Development Plan for Clinical Optometry Services.*</w:t>
      </w:r>
    </w:p>
    <w:bookmarkEnd w:id="31"/>
    <w:p>
      <w:pPr>
        <w:pStyle w:val="FirstParagraph"/>
      </w:pPr>
      <w:r>
        <w:rPr>
          <w:bCs/>
          <w:b/>
        </w:rPr>
        <w:t xml:space="preserve">Contact for further inquiries regarding this presentation:</w:t>
      </w:r>
    </w:p>
    <w:p>
      <w:pPr>
        <w:pStyle w:val="BodyText"/>
      </w:pPr>
      <w:r>
        <w:t xml:space="preserve">Department of Public Health, Ankara University</w:t>
      </w:r>
    </w:p>
    <w:p>
      <w:pPr>
        <w:pStyle w:val="BodyText"/>
      </w:pPr>
      <w:r>
        <w:rPr>
          <w:iCs/>
          <w:i/>
        </w:rPr>
        <w:t xml:space="preserve">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Optometrist in Turkey, Ankara</dc:title>
  <dc:creator/>
  <dc:language>en</dc:language>
  <cp:keywords/>
  <dcterms:created xsi:type="dcterms:W3CDTF">2026-07-29T18:35:41Z</dcterms:created>
  <dcterms:modified xsi:type="dcterms:W3CDTF">2026-07-29T18:35:41Z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