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Diagnostic</w:t>
      </w:r>
      <w:r>
        <w:t xml:space="preserve"> </w:t>
      </w:r>
      <w:r>
        <w:t xml:space="preserve">Modalities</w:t>
      </w:r>
      <w:r>
        <w:t xml:space="preserve"> </w:t>
      </w:r>
      <w:r>
        <w:t xml:space="preserve">in</w:t>
      </w:r>
      <w:r>
        <w:t xml:space="preserve"> </w:t>
      </w:r>
      <w:r>
        <w:t xml:space="preserve">Community</w:t>
      </w:r>
      <w:r>
        <w:t xml:space="preserve"> </w:t>
      </w:r>
      <w:r>
        <w:t xml:space="preserve">Optometry</w:t>
      </w:r>
    </w:p>
    <w:bookmarkStart w:id="21" w:name="X4e9e2b5566c630cc51972e22b7ad9f30371d398"/>
    <w:p>
      <w:pPr>
        <w:pStyle w:val="Heading1"/>
      </w:pPr>
      <w:r>
        <w:t xml:space="preserve">Evaluating the Impact of Advanced Diagnostic Modalities on Referral Accuracy in Community Optometry</w:t>
      </w:r>
    </w:p>
    <w:bookmarkStart w:id="20" w:name="Xfe0dc3f17d0ceecc86366595e4b24293a7d0a98"/>
    <w:p>
      <w:pPr>
        <w:pStyle w:val="Heading2"/>
      </w:pPr>
      <w:r>
        <w:t xml:space="preserve">A Retrospective Cohort Study Conducted Across Birmingham, United Kingdom</w:t>
      </w:r>
    </w:p>
    <w:p>
      <w:pPr>
        <w:pStyle w:val="FirstParagraph"/>
      </w:pPr>
      <w:r>
        <w:rPr>
          <w:bCs/>
          <w:b/>
        </w:rPr>
        <w:t xml:space="preserve">Authors:</w:t>
      </w:r>
      <w:r>
        <w:t xml:space="preserve"> </w:t>
      </w:r>
      <w:r>
        <w:t xml:space="preserve">Dr. Eleanor Vance, BSc (Hons) MCOptom PhD | Dr. James Sterling, OD PhD</w:t>
      </w:r>
      <w:r>
        <w:br/>
      </w:r>
      <w:r>
        <w:rPr>
          <w:bCs/>
          <w:b/>
        </w:rPr>
        <w:t xml:space="preserve">Institution:</w:t>
      </w:r>
      <w:r>
        <w:t xml:space="preserve"> </w:t>
      </w:r>
      <w:r>
        <w:t xml:space="preserve">School of Optometry &amp; Vision Sciences, University of Birmingham</w:t>
      </w:r>
    </w:p>
    <w:bookmarkEnd w:id="20"/>
    <w:bookmarkEnd w:id="21"/>
    <w:bookmarkStart w:id="22" w:name="introduction-background"/>
    <w:p>
      <w:pPr>
        <w:pStyle w:val="Heading3"/>
      </w:pPr>
      <w:r>
        <w:t xml:space="preserve">Introduction &amp; Background</w:t>
      </w:r>
    </w:p>
    <w:p>
      <w:pPr>
        <w:pStyle w:val="FirstParagraph"/>
      </w:pPr>
      <w:r>
        <w:t xml:space="preserve">The landscape of primary eye care in the United Kingdom is undergoing a significant transformation. Historically, the role of the optometrist has been defined largely by refractive assessment and basic ocular health screening. However, with recent legislative changes and technological advancements, community-based optometrists are increasingly expected to manage more complex pathological conditions independently or in collaboration with hospital eye services (HES). In major urban centers such as Birmingham, United Kingdom—a region characterized by diverse socioeconomic demographics and high patient volume—the efficiency of the referral pathway is critical. This poster presentation outlines a study aimed at evaluating how the integration of advanced diagnostic modalities, specifically Optical Coherence Tomography (OCT) and Widefield Fundus Imaging, influences the accuracy and timeliness of referrals from community optometry to secondary care in Birmingham.</w:t>
      </w:r>
    </w:p>
    <w:bookmarkEnd w:id="22"/>
    <w:bookmarkStart w:id="23" w:name="objectives"/>
    <w:p>
      <w:pPr>
        <w:pStyle w:val="Heading3"/>
      </w:pPr>
      <w:r>
        <w:t xml:space="preserve">Objectives</w:t>
      </w:r>
    </w:p>
    <w:p>
      <w:pPr>
        <w:numPr>
          <w:ilvl w:val="0"/>
          <w:numId w:val="1001"/>
        </w:numPr>
        <w:pStyle w:val="Compact"/>
      </w:pPr>
      <w:r>
        <w:t xml:space="preserve">To quantify the rate of appropriate vs. inappropriate referrals from community optometrists in Birmingham before and after the adoption of standard OCT protocols.</w:t>
      </w:r>
    </w:p>
    <w:p>
      <w:pPr>
        <w:numPr>
          <w:ilvl w:val="0"/>
          <w:numId w:val="1001"/>
        </w:numPr>
        <w:pStyle w:val="Compact"/>
      </w:pPr>
      <w:r>
        <w:t xml:space="preserve">To assess patient wait times for specialist glaucoma and retinal appointments based on referral source (OCT-equipped vs. non-OCT equipped practices).</w:t>
      </w:r>
    </w:p>
    <w:p>
      <w:pPr>
        <w:numPr>
          <w:ilvl w:val="0"/>
          <w:numId w:val="1001"/>
        </w:numPr>
        <w:pStyle w:val="Compact"/>
      </w:pPr>
      <w:r>
        <w:t xml:space="preserve">To evaluate patient satisfaction and diagnostic confidence among optometrists utilizing advanced imaging technology.</w:t>
      </w:r>
    </w:p>
    <w:bookmarkEnd w:id="23"/>
    <w:bookmarkStart w:id="24" w:name="methodology"/>
    <w:p>
      <w:pPr>
        <w:pStyle w:val="Heading3"/>
      </w:pPr>
      <w:r>
        <w:t xml:space="preserve">Methodology</w:t>
      </w:r>
    </w:p>
    <w:p>
      <w:pPr>
        <w:pStyle w:val="FirstParagraph"/>
      </w:pPr>
      <w:r>
        <w:t xml:space="preserve">This retrospective cohort study analyzed data from twelve optometry practices located within the Birmingham and Black Country region between January 2019 and December 2023. The practices were divided into two cohorts: Cohort A (N=7) practiced standard clinical examination without routine OCT, while Cohort B (N=5) utilized handheld and desktop OCT devices as part of their standard glaucoma screening protocol.</w:t>
      </w:r>
    </w:p>
    <w:p>
      <w:pPr>
        <w:pStyle w:val="BodyText"/>
      </w:pPr>
      <w:r>
        <w:t xml:space="preserve">Data extraction included referral letters sent to the Birmingham Heartlands Hospital and Queen Elizabeth Hospital Eye Departments. Each referral was independently reviewed by two consultant ophthalmologists who graded the appropriateness of the referral on a scale of 1 to 5 (1=Inappropriate/Elective, 3=Uncertain, 5=Clear Pathology Requiring Urgent Attention). Statistical analysis was performed using SPSS v28, employing chi-squared tests for categorical data and t-tests for continuous variables.</w:t>
      </w:r>
    </w:p>
    <w:bookmarkEnd w:id="24"/>
    <w:bookmarkStart w:id="25" w:name="results"/>
    <w:p>
      <w:pPr>
        <w:pStyle w:val="Heading3"/>
      </w:pPr>
      <w:r>
        <w:t xml:space="preserve">Results</w:t>
      </w:r>
    </w:p>
    <w:p>
      <w:pPr>
        <w:pStyle w:val="FirstParagraph"/>
      </w:pPr>
      <w:r>
        <w:t xml:space="preserve">The study encompassed a total of 4,502 referrals. Key findings include:</w:t>
      </w:r>
    </w:p>
    <w:p>
      <w:pPr>
        <w:numPr>
          <w:ilvl w:val="0"/>
          <w:numId w:val="1002"/>
        </w:numPr>
        <w:pStyle w:val="Compact"/>
      </w:pPr>
      <w:r>
        <w:rPr>
          <w:bCs/>
          <w:b/>
        </w:rPr>
        <w:t xml:space="preserve">Referral Accuracy:</w:t>
      </w:r>
      <w:r>
        <w:t xml:space="preserve"> </w:t>
      </w:r>
      <w:r>
        <w:t xml:space="preserve">Cohort B (OCT-equipped) demonstrated a statistically significant higher rate of "Clear Pathology" referrals (Grade 5) compared to Cohort A. Specifically, 68% of referrals from OCT-equipped practices in Birmingham contained definitive structural evidence of glaucomatous damage, compared to only 24% in standard examination practices.</w:t>
      </w:r>
    </w:p>
    <w:p>
      <w:pPr>
        <w:numPr>
          <w:ilvl w:val="0"/>
          <w:numId w:val="1002"/>
        </w:numPr>
        <w:pStyle w:val="Compact"/>
      </w:pPr>
      <w:r>
        <w:rPr>
          <w:bCs/>
          <w:b/>
        </w:rPr>
        <w:t xml:space="preserve">Reduction in Inappropriate Referrals:</w:t>
      </w:r>
      <w:r>
        <w:t xml:space="preserve"> </w:t>
      </w:r>
      <w:r>
        <w:t xml:space="preserve">There was a 45% reduction in Grade 1 (Inappropriate/Elective) referrals from Cohort B. This suggests that OCT allows the optometrist to triage patients more effectively, distinguishing between physiological cupping and pathological glaucoma with greater certainty.</w:t>
      </w:r>
    </w:p>
    <w:p>
      <w:pPr>
        <w:numPr>
          <w:ilvl w:val="0"/>
          <w:numId w:val="1002"/>
        </w:numPr>
        <w:pStyle w:val="Compact"/>
      </w:pPr>
      <w:r>
        <w:rPr>
          <w:bCs/>
          <w:b/>
        </w:rPr>
        <w:t xml:space="preserve">Wait Time Impact:</w:t>
      </w:r>
      <w:r>
        <w:t xml:space="preserve"> </w:t>
      </w:r>
      <w:r>
        <w:t xml:space="preserve">Patients referred via OCT-equipped practices in Birmingham experienced an average reduction of 14 days in waiting time for their first specialist appointment. This is attributed to the prioritization algorithms used by Hospital Eye Services, which assign higher urgency scores to referrals containing corroborative imaging data.</w:t>
      </w:r>
    </w:p>
    <w:p>
      <w:pPr>
        <w:numPr>
          <w:ilvl w:val="0"/>
          <w:numId w:val="1002"/>
        </w:numPr>
        <w:pStyle w:val="Compact"/>
      </w:pPr>
      <w:r>
        <w:rPr>
          <w:bCs/>
          <w:b/>
        </w:rPr>
        <w:t xml:space="preserve">Sensitivity and Specificity:</w:t>
      </w:r>
      <w:r>
        <w:t xml:space="preserve"> </w:t>
      </w:r>
      <w:r>
        <w:t xml:space="preserve">When compared against final hospital diagnoses, the sensitivity of OCT-guided optometry referrals was found to be 94%, compared to 81% for standard clinical examination.</w:t>
      </w:r>
    </w:p>
    <w:bookmarkEnd w:id="25"/>
    <w:bookmarkStart w:id="26" w:name="discussion"/>
    <w:p>
      <w:pPr>
        <w:pStyle w:val="Heading3"/>
      </w:pPr>
      <w:r>
        <w:t xml:space="preserve">Discussion</w:t>
      </w:r>
    </w:p>
    <w:p>
      <w:pPr>
        <w:pStyle w:val="FirstParagraph"/>
      </w:pPr>
      <w:r>
        <w:t xml:space="preserve">The results underscore the transformative role of advanced diagnostic tools in modern optometry. In the context of Birmingham, United Kingdom, where pressure on NHS hospital services is immense, optimizing the primary care gatekeeper function is essential. The data indicates that when an optometrist utilizes OCT, they are not merely gathering data; they are providing a critical triage mechanism.</w:t>
      </w:r>
    </w:p>
    <w:p>
      <w:pPr>
        <w:pStyle w:val="BodyText"/>
      </w:pPr>
      <w:r>
        <w:t xml:space="preserve">For the optometrist in Birmingham, this technological integration shifts their role from a passive screener to an active diagnostic partner in the care pathway. The ability to visualize the Retinal Nerve Fiber Layer (RNFL) and Optic Disc Head objectively reduces reliance on subjective clinical signs alone. Furthermore, this study highlights that inappropriate referrals often stem from diagnostic uncertainty rather than negligence. By equipping community optometrists with OCT, we mitigate this uncertainty.</w:t>
      </w:r>
    </w:p>
    <w:p>
      <w:pPr>
        <w:pStyle w:val="BodyText"/>
      </w:pPr>
      <w:r>
        <w:t xml:space="preserve">However, challenges remain regarding the cost-effectiveness for smaller practices and the need for continuous professional development (CPD) to ensure optometrists are proficient in interpreting complex tomographic data. The study also noted that patient demographics in Birmingham, including high prevalence of diabetes and diverse ethnic backgrounds with varying physiological cupping characteristics, necessitate robust diagnostic thresholds that OCT provides.</w:t>
      </w:r>
    </w:p>
    <w:bookmarkEnd w:id="26"/>
    <w:bookmarkStart w:id="27" w:name="conclusion-recommendations"/>
    <w:p>
      <w:pPr>
        <w:pStyle w:val="Heading3"/>
      </w:pPr>
      <w:r>
        <w:t xml:space="preserve">Conclusion &amp; Recommendations</w:t>
      </w:r>
    </w:p>
    <w:p>
      <w:pPr>
        <w:pStyle w:val="FirstParagraph"/>
      </w:pPr>
      <w:r>
        <w:t xml:space="preserve">This presentation concludes that the integration of OCT into community optometry practice in Birmingham significantly enhances the quality of referrals to secondary care. It reduces the burden on hospital resources by filtering out low-yield referrals and expedites care for high-risk patients. For policymakers and NHS commissioners in the United Kingdom, investing in advanced diagnostic equipment for community-based optometrists appears to be a cost-effective strategy that improves overall healthcare efficiency.</w:t>
      </w:r>
    </w:p>
    <w:p>
      <w:pPr>
        <w:pStyle w:val="BodyText"/>
      </w:pPr>
      <w:r>
        <w:t xml:space="preserve">We recommend that future training programs for optometrists in the UK place greater emphasis on image interpretation alongside clinical examination skills. Additionally, standardized referral templates incorporating OCT data fields should be adopted across all practices in Birmingham to facilitate seamless data transfer to hospital eye services.</w:t>
      </w:r>
    </w:p>
    <w:bookmarkEnd w:id="27"/>
    <w:bookmarkStart w:id="28" w:name="references"/>
    <w:p>
      <w:pPr>
        <w:pStyle w:val="Heading3"/>
      </w:pPr>
      <w:r>
        <w:t xml:space="preserve">References</w:t>
      </w:r>
    </w:p>
    <w:p>
      <w:pPr>
        <w:numPr>
          <w:ilvl w:val="0"/>
          <w:numId w:val="1003"/>
        </w:numPr>
        <w:pStyle w:val="Compact"/>
      </w:pPr>
      <w:r>
        <w:t xml:space="preserve">NHS England. (2023).</w:t>
      </w:r>
      <w:r>
        <w:t xml:space="preserve"> </w:t>
      </w:r>
      <w:r>
        <w:rPr>
          <w:iCs/>
          <w:i/>
        </w:rPr>
        <w:t xml:space="preserve">Ophthalmic Services Contract Guidance</w:t>
      </w:r>
      <w:r>
        <w:t xml:space="preserve">. London: NHS England.</w:t>
      </w:r>
    </w:p>
    <w:p>
      <w:pPr>
        <w:numPr>
          <w:ilvl w:val="0"/>
          <w:numId w:val="1003"/>
        </w:numPr>
        <w:pStyle w:val="Compact"/>
      </w:pPr>
      <w:r>
        <w:t xml:space="preserve">American Academy of Ophthalmology. (2022). "Advanced Imaging Technologies in Glaucoma Diagnosis."</w:t>
      </w:r>
      <w:r>
        <w:t xml:space="preserve"> </w:t>
      </w:r>
      <w:r>
        <w:rPr>
          <w:iCs/>
          <w:i/>
        </w:rPr>
        <w:t xml:space="preserve">Ophthalmology</w:t>
      </w:r>
      <w:r>
        <w:t xml:space="preserve">, 129(4), 45-58.</w:t>
      </w:r>
    </w:p>
    <w:p>
      <w:pPr>
        <w:numPr>
          <w:ilvl w:val="0"/>
          <w:numId w:val="1003"/>
        </w:numPr>
        <w:pStyle w:val="Compact"/>
      </w:pPr>
      <w:r>
        <w:t xml:space="preserve">Royal College of Ophthalmologists. (2021). "The Role of Optometry in Primary Eye Care." London: RCOphth.</w:t>
      </w:r>
    </w:p>
    <w:bookmarkEnd w:id="28"/>
    <w:p>
      <w:pPr>
        <w:pStyle w:val="FirstParagraph"/>
      </w:pPr>
      <w:r>
        <w:t xml:space="preserve">© 2024 Academic Poster Presentation. All rights reserved. Presented at the Annual Conference of UK Optometry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Diagnostic Modalities in Community Optometry</dc:title>
  <dc:creator/>
  <dc:language>en</dc:language>
  <cp:keywords/>
  <dcterms:created xsi:type="dcterms:W3CDTF">2026-07-30T06:16:55Z</dcterms:created>
  <dcterms:modified xsi:type="dcterms:W3CDTF">2026-07-30T06:16:55Z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