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Advanced</w:t>
      </w:r>
      <w:r>
        <w:t xml:space="preserve"> </w:t>
      </w:r>
      <w:r>
        <w:t xml:space="preserve">Optometric</w:t>
      </w:r>
      <w:r>
        <w:t xml:space="preserve"> </w:t>
      </w:r>
      <w:r>
        <w:t xml:space="preserve">Care</w:t>
      </w:r>
      <w:r>
        <w:t xml:space="preserve"> </w:t>
      </w:r>
      <w:r>
        <w:t xml:space="preserve">in</w:t>
      </w:r>
      <w:r>
        <w:t xml:space="preserve"> </w:t>
      </w:r>
      <w:r>
        <w:t xml:space="preserve">Urban</w:t>
      </w:r>
      <w:r>
        <w:t xml:space="preserve"> </w:t>
      </w:r>
      <w:r>
        <w:t xml:space="preserve">Environments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Advanced Optometric Care in Urban Environments</dc:title>
  <dc:creator/>
  <dc:language>en</dc:language>
  <cp:keywords/>
  <dcterms:created xsi:type="dcterms:W3CDTF">2026-09-28T01:27:44Z</dcterms:created>
  <dcterms:modified xsi:type="dcterms:W3CDTF">2026-09-28T01:27:44Z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