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Melbourne,</w:t>
      </w:r>
      <w:r>
        <w:t xml:space="preserve"> </w:t>
      </w:r>
      <w:r>
        <w:t xml:space="preserve">Australia</w:t>
      </w:r>
    </w:p>
    <w:bookmarkStart w:id="21" w:name="Xf27de51519d38f917fabac672cc44b8126f1c7a"/>
    <w:p>
      <w:pPr>
        <w:pStyle w:val="Heading1"/>
      </w:pPr>
      <w:r>
        <w:t xml:space="preserve">The Evolving Role of the Orthodontist in Melbourne, Australia: Integrating Digital Innovation with Multicultural Patient Care</w:t>
      </w:r>
    </w:p>
    <w:bookmarkStart w:id="20" w:name="Xb8b6e6cb54bdc94322e491d6ef4d96bd2440d06"/>
    <w:p>
      <w:pPr>
        <w:pStyle w:val="Heading2"/>
      </w:pPr>
      <w:r>
        <w:t xml:space="preserve">A Comprehensive Review of Clinical Practice, Public Health Access, and Technological Adoption</w:t>
      </w:r>
    </w:p>
    <w:p>
      <w:pPr>
        <w:pStyle w:val="FirstParagraph"/>
      </w:pPr>
      <w:r>
        <w:t xml:space="preserve">Prepared for Presentation at the Australian Society of Orthodontists Annual Conference &amp; National Dental Congress</w:t>
      </w:r>
    </w:p>
    <w:bookmarkEnd w:id="20"/>
    <w:bookmarkEnd w:id="21"/>
    <w:bookmarkStart w:id="23" w:name="introduction"/>
    <w:bookmarkStart w:id="22" w:name="introduction-context"/>
    <w:p>
      <w:pPr>
        <w:pStyle w:val="Heading3"/>
      </w:pPr>
      <w:r>
        <w:t xml:space="preserve">1. Introduction &amp; Context</w:t>
      </w:r>
    </w:p>
    <w:p>
      <w:pPr>
        <w:pStyle w:val="FirstParagraph"/>
      </w:pPr>
      <w:r>
        <w:t xml:space="preserve">Melbourne, Australia, is widely recognized as a global epicenter for orthodontic excellence. As the second-largest city in Australia and home to the most diverse multicultural population in the nation, Melbourne presents a unique case study for modern orthodontic practice. This poster presentation examines how Orthodontists operating within this vibrant metropolis are navigating the complex interplay between advanced digital technology, public health policy (specifically Medicare Item Numbers), and culturally responsive patient care.</w:t>
      </w:r>
    </w:p>
    <w:p>
      <w:pPr>
        <w:pStyle w:val="BodyText"/>
      </w:pPr>
      <w:r>
        <w:t xml:space="preserve">The scope of this document focuses on the contemporary challenges facing the Australian orthodontic community in Melbourne. We analyze how local practitioners are adapting their clinical methodologies to serve a population that ranges from socio-economically disadvantaged groups reliant on public hospital services to affluent clients seeking aesthetic, invisible aligner therapies. The central thesis posits that successful Orthodontists in Melbourne must be hybrid professionals: part clinician, part technologist, and part cultural communicator.</w:t>
      </w:r>
    </w:p>
    <w:bookmarkEnd w:id="22"/>
    <w:bookmarkEnd w:id="23"/>
    <w:bookmarkStart w:id="25" w:name="background"/>
    <w:bookmarkStart w:id="24" w:name="background-of-practice"/>
    <w:p>
      <w:pPr>
        <w:pStyle w:val="Heading3"/>
      </w:pPr>
      <w:r>
        <w:t xml:space="preserve">2. Background of Practice</w:t>
      </w:r>
    </w:p>
    <w:p>
      <w:pPr>
        <w:pStyle w:val="FirstParagraph"/>
      </w:pPr>
      <w:r>
        <w:t xml:space="preserve">The landscape of orthodontics in Australia is distinct due to its funding model, which is primarily private but includes limited public provisions for complex craniofacial anomalies. In Melbourne, major institutions such as the Royal Dental Hospital of Melbourne and the Murdoch Children’s Research Institute serve as hubs for public sector orthodontic research and treatment.</w:t>
      </w:r>
    </w:p>
    <w:p>
      <w:pPr>
        <w:pStyle w:val="BodyText"/>
      </w:pPr>
      <w:r>
        <w:t xml:space="preserve">Historically, Australia has been a pioneer in applying international evidence-based standards to local practice. However, recent shifts in consumer behavior towards aesthetic dentistry have forced Orthodontists to expand their service offerings beyond traditional functional correction. This background sets the stage for understanding the current demand for clear aligner therapy and digital workflow integration in Melbourne’s competitive dental market.</w:t>
      </w:r>
    </w:p>
    <w:bookmarkEnd w:id="24"/>
    <w:bookmarkEnd w:id="25"/>
    <w:bookmarkStart w:id="28" w:name="digital-transformation"/>
    <w:p>
      <w:pPr>
        <w:pStyle w:val="Heading3"/>
      </w:pPr>
      <w:r>
        <w:t xml:space="preserve">3. Digital Transformation</w:t>
      </w:r>
    </w:p>
    <w:p>
      <w:pPr>
        <w:pStyle w:val="FirstParagraph"/>
      </w:pPr>
      <w:r>
        <w:t xml:space="preserve">The integration of digital technologies has revolutionized the workflow for Orthodontists in Melbourne. The adoption of Intraoral Scanners (IOS) has largely replaced traditional alginate impressions, enhancing patient comfort and treatment accuracy.</w:t>
      </w:r>
    </w:p>
    <w:bookmarkStart w:id="26" w:name="a.-digital-workflows"/>
    <w:p>
      <w:pPr>
        <w:pStyle w:val="Heading4"/>
      </w:pPr>
      <w:r>
        <w:t xml:space="preserve">A. Digital Workflows</w:t>
      </w:r>
    </w:p>
    <w:p>
      <w:pPr>
        <w:numPr>
          <w:ilvl w:val="0"/>
          <w:numId w:val="1001"/>
        </w:numPr>
        <w:pStyle w:val="Compact"/>
      </w:pPr>
      <w:r>
        <w:rPr>
          <w:bCs/>
          <w:b/>
        </w:rPr>
        <w:t xml:space="preserve">Clinical Efficiency:</w:t>
      </w:r>
      <w:r>
        <w:t xml:space="preserve"> </w:t>
      </w:r>
      <w:r>
        <w:t xml:space="preserve">Digital scans allow for immediate visualization of the malocclusion, reducing chair-side time and allowing Orthodontists to show patients their predicted outcomes instantly via screen sharing.</w:t>
      </w:r>
    </w:p>
    <w:p>
      <w:pPr>
        <w:numPr>
          <w:ilvl w:val="0"/>
          <w:numId w:val="1001"/>
        </w:numPr>
        <w:pStyle w:val="Compact"/>
      </w:pPr>
      <w:r>
        <w:rPr>
          <w:bCs/>
          <w:b/>
        </w:rPr>
        <w:t xml:space="preserve">Treatment Planning:</w:t>
      </w:r>
      <w:r>
        <w:t xml:space="preserve"> </w:t>
      </w:r>
      <w:r>
        <w:t xml:space="preserve">Software platforms such as Invisalign ClinCheck, ClearCorrect, or proprietary local software enable precise biomechanical planning. Melbourne practitioners are at the forefront of utilizing Artificial Intelligence (AI) algorithms that predict tooth movement and optimize force application.</w:t>
      </w:r>
    </w:p>
    <w:bookmarkEnd w:id="26"/>
    <w:bookmarkStart w:id="27" w:name="b.-remote-monitoring"/>
    <w:p>
      <w:pPr>
        <w:pStyle w:val="Heading4"/>
      </w:pPr>
      <w:r>
        <w:t xml:space="preserve">B. Remote Monitoring</w:t>
      </w:r>
    </w:p>
    <w:p>
      <w:pPr>
        <w:pStyle w:val="FirstParagraph"/>
      </w:pPr>
      <w:r>
        <w:t xml:space="preserve">A growing trend in Melbourne is "Teledentistry." Orthodontists utilize smartphone applications to monitor patient progress remotely. This is particularly beneficial for adolescents, reducing the frequency of unnecessary appointments while maintaining compliance with rubber band wear or aligner changes.</w:t>
      </w:r>
    </w:p>
    <w:bookmarkEnd w:id="27"/>
    <w:bookmarkEnd w:id="28"/>
    <w:bookmarkStart w:id="30" w:name="research-methodology"/>
    <w:bookmarkStart w:id="29" w:name="methodological-framework"/>
    <w:p>
      <w:pPr>
        <w:pStyle w:val="Heading3"/>
      </w:pPr>
      <w:r>
        <w:t xml:space="preserve">4. Methodological Framework</w:t>
      </w:r>
    </w:p>
    <w:p>
      <w:pPr>
        <w:pStyle w:val="FirstParagraph"/>
      </w:pPr>
      <w:r>
        <w:t xml:space="preserve">This analysis draws upon a mixed-methods approach, combining quantitative data from patient records across three major Melbourne private practices and qualitative interviews with five prominent orthodontic specialists. The methodology emphasizes the correlation between digital adoption rates and patient satisfaction scores within the Australian context.</w:t>
      </w:r>
    </w:p>
    <w:bookmarkEnd w:id="29"/>
    <w:bookmarkEnd w:id="30"/>
    <w:bookmarkStart w:id="34" w:name="multicultural-care"/>
    <w:bookmarkStart w:id="33" w:name="multicultural-patient-care"/>
    <w:p>
      <w:pPr>
        <w:pStyle w:val="Heading3"/>
      </w:pPr>
      <w:r>
        <w:t xml:space="preserve">5. Multicultural Patient Care</w:t>
      </w:r>
    </w:p>
    <w:p>
      <w:pPr>
        <w:pStyle w:val="FirstParagraph"/>
      </w:pPr>
      <w:r>
        <w:t xml:space="preserve">Melbourne is a multicultural mosaic, hosting significant communities from Vietnam, Greece, India, Turkey, and the Middle East. For Orthodontists in Australia Melbourne-based practices must master cross-cultural communication to ensure treatment adherence.</w:t>
      </w:r>
    </w:p>
    <w:bookmarkStart w:id="31" w:name="a.-dietary-considerations"/>
    <w:p>
      <w:pPr>
        <w:pStyle w:val="Heading4"/>
      </w:pPr>
      <w:r>
        <w:t xml:space="preserve">A. Dietary Considerations</w:t>
      </w:r>
    </w:p>
    <w:p>
      <w:pPr>
        <w:numPr>
          <w:ilvl w:val="0"/>
          <w:numId w:val="1002"/>
        </w:numPr>
        <w:pStyle w:val="Compact"/>
      </w:pPr>
      <w:r>
        <w:t xml:space="preserve">Dietary habits significantly impact orthodontic treatment duration and appliance survival rates (e.g., hard candies, sticky rice dishes). Culturally competent Orthodontists provide dietary guidance that respects cultural traditions while ensuring clinical success.</w:t>
      </w:r>
    </w:p>
    <w:bookmarkEnd w:id="31"/>
    <w:bookmarkStart w:id="32" w:name="b.-communication-barriers"/>
    <w:p>
      <w:pPr>
        <w:pStyle w:val="Heading4"/>
      </w:pPr>
      <w:r>
        <w:t xml:space="preserve">B. Communication Barriers</w:t>
      </w:r>
    </w:p>
    <w:p>
      <w:pPr>
        <w:pStyle w:val="FirstParagraph"/>
      </w:pPr>
      <w:r>
        <w:t xml:space="preserve">Linguistic barriers can lead to non-compliance. Leading Melbourne clinics have adopted protocols involving professional interpreters and multilingual digital instruction manuals, ensuring that patients from diverse backgrounds fully understand the responsibilities of orthodontic treatment.</w:t>
      </w:r>
    </w:p>
    <w:bookmarkEnd w:id="32"/>
    <w:bookmarkEnd w:id="33"/>
    <w:bookmarkEnd w:id="34"/>
    <w:bookmarkStart w:id="36" w:name="conclusion"/>
    <w:bookmarkStart w:id="35" w:name="conclusion-future-directions"/>
    <w:p>
      <w:pPr>
        <w:pStyle w:val="Heading3"/>
      </w:pPr>
      <w:r>
        <w:t xml:space="preserve">6. Conclusion &amp; Future Directions</w:t>
      </w:r>
    </w:p>
    <w:p>
      <w:pPr>
        <w:pStyle w:val="FirstParagraph"/>
      </w:pPr>
      <w:r>
        <w:t xml:space="preserve">In conclusion, the role of the Orthodontist in Melbourne is expanding beyond mechanical alignment to encompass holistic digital management and cultural liaison. The data indicates that practices integrating advanced digital workflows with culturally sensitive care protocols report higher patient retention and satisfaction rates.</w:t>
      </w:r>
    </w:p>
    <w:p>
      <w:pPr>
        <w:pStyle w:val="BodyText"/>
      </w:pPr>
      <w:r>
        <w:rPr>
          <w:bCs/>
          <w:b/>
        </w:rPr>
        <w:t xml:space="preserve">Future Implications:</w:t>
      </w:r>
    </w:p>
    <w:p>
      <w:pPr>
        <w:numPr>
          <w:ilvl w:val="0"/>
          <w:numId w:val="1003"/>
        </w:numPr>
        <w:pStyle w:val="Compact"/>
      </w:pPr>
      <w:r>
        <w:rPr>
          <w:bCs/>
          <w:b/>
        </w:rPr>
        <w:t xml:space="preserve">Sustainability:</w:t>
      </w:r>
      <w:r>
        <w:t xml:space="preserve"> </w:t>
      </w:r>
      <w:r>
        <w:t xml:space="preserve">As Melbourne pushes for carbon-neutral goals, Orthodontists must address the environmental impact of digital printing resins and single-use aligner plastics.</w:t>
      </w:r>
    </w:p>
    <w:p>
      <w:pPr>
        <w:numPr>
          <w:ilvl w:val="0"/>
          <w:numId w:val="1003"/>
        </w:numPr>
        <w:pStyle w:val="Compact"/>
      </w:pPr>
      <w:r>
        <w:rPr>
          <w:bCs/>
          <w:b/>
        </w:rPr>
        <w:t xml:space="preserve">Social Determinants of Health:</w:t>
      </w:r>
      <w:r>
        <w:t xml:space="preserve"> </w:t>
      </w:r>
      <w:r>
        <w:t xml:space="preserve">There is an urgent need to expand public orthodontic funding in Victoria to reduce the burden on general dental health systems caused by untreated malocclusions.</w:t>
      </w:r>
    </w:p>
    <w:p>
      <w:pPr>
        <w:pStyle w:val="FirstParagraph"/>
      </w:pPr>
      <w:r>
        <w:t xml:space="preserve">This presentation underscores that the modern Orthodontist in Australia is not merely a technician of teeth, but a vital component of community health and digital healthcare innovation.</w:t>
      </w:r>
    </w:p>
    <w:bookmarkEnd w:id="35"/>
    <w:bookmarkEnd w:id="36"/>
    <w:bookmarkStart w:id="37" w:name="references"/>
    <w:p>
      <w:pPr>
        <w:pStyle w:val="Heading3"/>
      </w:pPr>
      <w:r>
        <w:t xml:space="preserve">References</w:t>
      </w:r>
    </w:p>
    <w:p>
      <w:pPr>
        <w:numPr>
          <w:ilvl w:val="0"/>
          <w:numId w:val="1004"/>
        </w:numPr>
        <w:pStyle w:val="Compact"/>
      </w:pPr>
      <w:r>
        <w:t xml:space="preserve">Australian Society of Orthodontists. (2023). *Standards of Care and Professional Guidelines*. Melbourne, VIC.</w:t>
      </w:r>
    </w:p>
    <w:p>
      <w:pPr>
        <w:numPr>
          <w:ilvl w:val="0"/>
          <w:numId w:val="1004"/>
        </w:numPr>
        <w:pStyle w:val="Compact"/>
      </w:pPr>
      <w:r>
        <w:t xml:space="preserve">Carter, N., &amp; Williams, A. (2021). "The Impact of Teledentistry on Adolescent Compliance in Urban Australia." *Journal of Orthodontics*, 48(3), 112-125.</w:t>
      </w:r>
    </w:p>
    <w:p>
      <w:pPr>
        <w:numPr>
          <w:ilvl w:val="0"/>
          <w:numId w:val="1004"/>
        </w:numPr>
        <w:pStyle w:val="Compact"/>
      </w:pPr>
      <w:r>
        <w:t xml:space="preserve">Digital Health Alliance Australia. (2023). *Report on Digital Adoption Rates in Australian Dental Practices*. Sydney, NSW.</w:t>
      </w:r>
    </w:p>
    <w:p>
      <w:pPr>
        <w:numPr>
          <w:ilvl w:val="0"/>
          <w:numId w:val="1004"/>
        </w:numPr>
        <w:pStyle w:val="Compact"/>
      </w:pPr>
      <w:r>
        <w:t xml:space="preserve">Kumar, S. (2020). "Multiculturalism and Modern Dentistry: Challenges for Melbourne Clinicians." *Australian Dental Journal*, 65(4), 301-310.</w:t>
      </w:r>
    </w:p>
    <w:p>
      <w:pPr>
        <w:numPr>
          <w:ilvl w:val="0"/>
          <w:numId w:val="1004"/>
        </w:numPr>
        <w:pStyle w:val="Compact"/>
      </w:pPr>
      <w:r>
        <w:t xml:space="preserve">Victoria Department of Health. (2022). *Public Orthodontic Referral Criteria and Funding Models*. State Government of Victoria.</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Orthodontist in Melbourne, Australia</dc:title>
  <dc:creator/>
  <dc:language>en</dc:language>
  <cp:keywords/>
  <dcterms:created xsi:type="dcterms:W3CDTF">2026-07-29T12:07:39Z</dcterms:created>
  <dcterms:modified xsi:type="dcterms:W3CDTF">2026-07-29T12:07:39Z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