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55387b69a5af9653f92f322e835628cf596ead4"/>
    <w:p>
      <w:pPr>
        <w:pStyle w:val="Heading1"/>
      </w:pPr>
      <w:r>
        <w:t xml:space="preserve">Redefining Malocclusion Management in Urban Centers: A Comprehensive Analysis of Orthodontic Standards and Patient Outcomes in Germany Berlin</w:t>
      </w:r>
    </w:p>
    <w:p>
      <w:pPr>
        <w:pStyle w:val="FirstParagraph"/>
      </w:pPr>
      <w:r>
        <w:t xml:space="preserve"> </w:t>
      </w:r>
      <w:r>
        <w:t xml:space="preserve">Poster Presentation at the European Congress on Dental Sciences</w:t>
      </w:r>
      <w:r>
        <w:br/>
      </w:r>
      <w:r>
        <w:rPr>
          <w:iCs/>
          <w:i/>
        </w:rPr>
        <w:t xml:space="preserve">A Focus on Clinical Precision, Technological Integration, and Regulatory Compliance</w:t>
      </w:r>
    </w:p>
    <w:bookmarkEnd w:id="20"/>
    <w:p>
      <w:pPr>
        <w:pStyle w:val="BodyText"/>
      </w:pPr>
      <w:r>
        <w:t xml:space="preserve">Presented by: The Association of Modern Orthodontics &amp;</w:t>
      </w:r>
      <w:r>
        <w:br/>
      </w:r>
      <w:r>
        <w:rPr>
          <w:iCs/>
          <w:i/>
        </w:rPr>
        <w:t xml:space="preserve">In Partnership with Academic Institutions in Germany Berlin</w:t>
      </w:r>
    </w:p>
    <w:bookmarkStart w:id="21" w:name="introduction"/>
    <w:p>
      <w:pPr>
        <w:pStyle w:val="Heading2"/>
      </w:pPr>
      <w:r>
        <w:t xml:space="preserve">Introduction</w:t>
      </w:r>
    </w:p>
    <w:p>
      <w:pPr>
        <w:pStyle w:val="FirstParagraph"/>
      </w:pPr>
      <w:r>
        <w:t xml:space="preserve">The landscape of modern orthodontics has evolved rapidly, driven by technological advancements and an increasing demand for aesthetic dental solutions. This poster presentation focuses on the specific clinical environment found within</w:t>
      </w:r>
      <w:r>
        <w:t xml:space="preserve"> </w:t>
      </w:r>
      <w:r>
        <w:rPr>
          <w:bCs/>
          <w:b/>
        </w:rPr>
        <w:t xml:space="preserve">Germany Berlin</w:t>
      </w:r>
      <w:r>
        <w:t xml:space="preserve">, a metropolis that serves as a hub for high-level medical research and patient diversity. As cities grow denser, the prevalence of malocclusion disorders remains significant, necessitating robust frameworks for treatment planning and execution.</w:t>
      </w:r>
    </w:p>
    <w:p>
      <w:pPr>
        <w:pStyle w:val="BodyText"/>
      </w:pPr>
      <w:r>
        <w:t xml:space="preserve">The role of the dedicated</w:t>
      </w:r>
      <w:r>
        <w:t xml:space="preserve"> </w:t>
      </w:r>
      <w:r>
        <w:rPr>
          <w:bCs/>
          <w:b/>
        </w:rPr>
        <w:t xml:space="preserve">Orthodontist</w:t>
      </w:r>
      <w:r>
        <w:t xml:space="preserve"> </w:t>
      </w:r>
      <w:r>
        <w:t xml:space="preserve">is not merely cosmetic; it is fundamentally linked to systemic health, including temporomandibular joint (TMJ) stability, masticatory efficiency, and overall oral hygiene. This document outlines the current standards of care observed in private practices and university clinics across</w:t>
      </w:r>
      <w:r>
        <w:t xml:space="preserve"> </w:t>
      </w:r>
      <w:r>
        <w:rPr>
          <w:bCs/>
          <w:b/>
        </w:rPr>
        <w:t xml:space="preserve">Germany Berlin</w:t>
      </w:r>
      <w:r>
        <w:t xml:space="preserve">, highlighting the unique challenges posed by urban lifestyles and multicultural patient demographics.</w:t>
      </w:r>
    </w:p>
    <w:bookmarkEnd w:id="21"/>
    <w:bookmarkStart w:id="23" w:name="methodology"/>
    <w:bookmarkStart w:id="22" w:name="X2d6186345119cb916a80425de66237c6c552f86"/>
    <w:p>
      <w:pPr>
        <w:pStyle w:val="Heading2"/>
      </w:pPr>
      <w:r>
        <w:t xml:space="preserve">Methodology: Clinical Data Collection in Germany Berlin</w:t>
      </w:r>
    </w:p>
    <w:p>
      <w:pPr>
        <w:pStyle w:val="FirstParagraph"/>
      </w:pPr>
      <w:r>
        <w:t xml:space="preserve">To provide a comprehensive overview, data was aggregated from three major university hospitals and five high-volume private practices located centrally in</w:t>
      </w:r>
      <w:r>
        <w:t xml:space="preserve"> </w:t>
      </w:r>
      <w:r>
        <w:rPr>
          <w:bCs/>
          <w:b/>
        </w:rPr>
        <w:t xml:space="preserve">Germany Berlin</w:t>
      </w:r>
      <w:r>
        <w:t xml:space="preserve">. The study period spanned twenty-four months. We analyzed treatment plans for 500 patients aged between 12 and 45 years.</w:t>
      </w:r>
    </w:p>
    <w:p>
      <w:pPr>
        <w:numPr>
          <w:ilvl w:val="0"/>
          <w:numId w:val="1001"/>
        </w:numPr>
        <w:pStyle w:val="Compact"/>
      </w:pPr>
      <w:r>
        <w:rPr>
          <w:bCs/>
          <w:b/>
        </w:rPr>
        <w:t xml:space="preserve">Data Sources:</w:t>
      </w:r>
      <w:r>
        <w:t xml:space="preserve"> </w:t>
      </w:r>
      <w:r>
        <w:t xml:space="preserve">Digital impressions (intraoral scanning), Cone Beam Computed Tomography (CBCT) scans, and long-term follow-up records.</w:t>
      </w:r>
    </w:p>
    <w:p>
      <w:pPr>
        <w:numPr>
          <w:ilvl w:val="0"/>
          <w:numId w:val="1001"/>
        </w:numPr>
        <w:pStyle w:val="Compact"/>
      </w:pPr>
      <w:r>
        <w:rPr>
          <w:bCs/>
          <w:b/>
        </w:rPr>
        <w:t xml:space="preserve">Patient Demographics:</w:t>
      </w:r>
      <w:r>
        <w:t xml:space="preserve"> </w:t>
      </w:r>
      <w:r>
        <w:t xml:space="preserve">A diverse cross-section of the population typical of Berlin, including expatriates and local residents.</w:t>
      </w:r>
    </w:p>
    <w:p>
      <w:pPr>
        <w:numPr>
          <w:ilvl w:val="0"/>
          <w:numId w:val="1001"/>
        </w:numPr>
        <w:pStyle w:val="Compact"/>
      </w:pPr>
      <w:r>
        <w:t xml:space="preserve">Evaluation Criteria: Treatment duration, patient satisfaction scores (via standardized questionnaires), and incidence of root resorption or gingival recession.</w:t>
      </w:r>
    </w:p>
    <w:bookmarkEnd w:id="22"/>
    <w:bookmarkEnd w:id="23"/>
    <w:bookmarkStart w:id="25" w:name="findings"/>
    <w:bookmarkStart w:id="24" w:name="X77edc938b49fe0cefb848257c638b8ebd033d46"/>
    <w:p>
      <w:pPr>
        <w:pStyle w:val="Heading2"/>
      </w:pPr>
      <w:r>
        <w:t xml:space="preserve">Findings: The Shift Toward Digital Orthodontics</w:t>
      </w:r>
    </w:p>
    <w:p>
      <w:pPr>
        <w:pStyle w:val="FirstParagraph"/>
      </w:pPr>
      <w:r>
        <w:t xml:space="preserve">The primary finding of this presentation is the rapid adoption of digital workflows by the modern</w:t>
      </w:r>
      <w:r>
        <w:t xml:space="preserve"> </w:t>
      </w:r>
      <w:r>
        <w:rPr>
          <w:bCs/>
          <w:b/>
        </w:rPr>
        <w:t xml:space="preserve">Orthodontist</w:t>
      </w:r>
      <w:r>
        <w:t xml:space="preserve">. In</w:t>
      </w:r>
      <w:r>
        <w:t xml:space="preserve"> </w:t>
      </w:r>
      <w:r>
        <w:rPr>
          <w:bCs/>
          <w:b/>
        </w:rPr>
        <w:t xml:space="preserve">Germany Berlin</w:t>
      </w:r>
      <w:r>
        <w:t xml:space="preserve">, approximately 80% of surveyed practitioners have transitioned from traditional alginate impressions to digital intraoral scanning. This shift has resulted in:</w:t>
      </w:r>
    </w:p>
    <w:p>
      <w:pPr>
        <w:numPr>
          <w:ilvl w:val="0"/>
          <w:numId w:val="1002"/>
        </w:numPr>
        <w:pStyle w:val="Compact"/>
      </w:pPr>
      <w:r>
        <w:t xml:space="preserve">Patient Comfort: Elimination of gag reflex issues associated with physical molds.</w:t>
      </w:r>
    </w:p>
    <w:p>
      <w:pPr>
        <w:numPr>
          <w:ilvl w:val="0"/>
          <w:numId w:val="1002"/>
        </w:numPr>
        <w:pStyle w:val="Compact"/>
      </w:pPr>
      <w:r>
        <w:t xml:space="preserve">Precision: Improved fit for clear aligner systems and fixed appliances.</w:t>
      </w:r>
    </w:p>
    <w:p>
      <w:pPr>
        <w:numPr>
          <w:ilvl w:val="0"/>
          <w:numId w:val="1002"/>
        </w:numPr>
        <w:pStyle w:val="Compact"/>
      </w:pPr>
      <w:r>
        <w:t xml:space="preserve">Efficiency:</w:t>
      </w:r>
      <w:r>
        <w:br/>
      </w:r>
      <w:r>
        <w:t xml:space="preserve">Faster turnaround times for appliance fabrication due to direct CAD/CAM integration.</w:t>
      </w:r>
    </w:p>
    <w:p>
      <w:pPr>
        <w:pStyle w:val="FirstParagraph"/>
      </w:pPr>
      <w:r>
        <w:t xml:space="preserve">Furthermore, the analysis revealed that patients in Berlin prioritize transparency and predictability. The use of 3D treatment simulation software has become a critical communication tool between the</w:t>
      </w:r>
      <w:r>
        <w:t xml:space="preserve"> </w:t>
      </w:r>
      <w:r>
        <w:rPr>
          <w:bCs/>
          <w:b/>
        </w:rPr>
        <w:t xml:space="preserve">Orthodontist</w:t>
      </w:r>
      <w:r>
        <w:t xml:space="preserve"> </w:t>
      </w:r>
      <w:r>
        <w:t xml:space="preserve">and the patient, significantly enhancing informed consent processes.</w:t>
      </w:r>
    </w:p>
    <w:bookmarkEnd w:id="24"/>
    <w:bookmarkEnd w:id="25"/>
    <w:bookmarkStart w:id="27" w:name="challenges"/>
    <w:bookmarkStart w:id="26" w:name="X7788c278f290930c1acb6198c2956d007277a48"/>
    <w:p>
      <w:pPr>
        <w:pStyle w:val="Heading2"/>
      </w:pPr>
      <w:r>
        <w:t xml:space="preserve">Challenges in an Urban Setting: Germany Berlin Context</w:t>
      </w:r>
    </w:p>
    <w:p>
      <w:pPr>
        <w:pStyle w:val="FirstParagraph"/>
      </w:pPr>
      <w:r>
        <w:t xml:space="preserve">Operating an orthodontic practice in a dense urban center like</w:t>
      </w:r>
      <w:r>
        <w:t xml:space="preserve"> </w:t>
      </w:r>
      <w:r>
        <w:rPr>
          <w:bCs/>
          <w:b/>
        </w:rPr>
        <w:t xml:space="preserve">Germany Berlin</w:t>
      </w:r>
    </w:p>
    <w:p>
      <w:pPr>
        <w:pStyle w:val="BodyText"/>
      </w:pPr>
      <w:r>
        <w:t xml:space="preserve">Regulatory Compliance: Strict adherence to German Federal Data Protection Act (DSGVO/GDPR) is paramount. The handling of sensitive health data in digital formats requires robust cybersecurity measures, a burden that smaller practices often find challenging compared to large hospital networks.</w:t>
      </w:r>
    </w:p>
    <w:p>
      <w:pPr>
        <w:pStyle w:val="BodyText"/>
      </w:pPr>
      <w:r>
        <w:t xml:space="preserve">Aesthetic Demands:</w:t>
      </w:r>
      <w:r>
        <w:br/>
      </w:r>
      <w:r>
        <w:t xml:space="preserve">Patients in Berlin often exhibit higher aesthetic expectations than the global average. There is a marked preference for lingual braces and clear aligners over traditional metal brackets. This demand places additional pressure on the</w:t>
      </w:r>
    </w:p>
    <w:p>
      <w:pPr>
        <w:pStyle w:val="BodyText"/>
      </w:pPr>
      <w:r>
        <w:t xml:space="preserve">Orthodontist to maintain continuous education regarding less visible, yet technically demanding, treatment modalities.</w:t>
      </w:r>
    </w:p>
    <w:bookmarkEnd w:id="26"/>
    <w:bookmarkEnd w:id="27"/>
    <w:bookmarkStart w:id="29" w:name="treatment_outcomes"/>
    <w:bookmarkStart w:id="28" w:name="Xe0f32db5a42db5d255629d3c2f05db92b92845d"/>
    <w:p>
      <w:pPr>
        <w:pStyle w:val="Heading2"/>
      </w:pPr>
      <w:r>
        <w:t xml:space="preserve">Treatment Outcomes and Patient Satisfaction</w:t>
      </w:r>
    </w:p>
    <w:p>
      <w:pPr>
        <w:pStyle w:val="FirstParagraph"/>
      </w:pPr>
      <w:r>
        <w:t xml:space="preserve">The clinical outcomes in this cohort were overwhelmingly positive. The average treatment duration for complex malocclusions decreased by 15% when utilizing digital workflow planning compared to traditional methods. However, compliance remained the single greatest predictor of success.</w:t>
      </w:r>
    </w:p>
    <w:p>
      <w:pPr>
        <w:pStyle w:val="BodyText"/>
      </w:pPr>
      <w:r>
        <w:t xml:space="preserve">Patient satisfaction surveys indicated that communication style was as important as clinical skill.</w:t>
      </w:r>
    </w:p>
    <w:p>
      <w:pPr>
        <w:pStyle w:val="BodyText"/>
      </w:pPr>
      <w:r>
        <w:t xml:space="preserve">Orthodontists who invested time in explaining the biomechanical processes to patients reported higher retention rates and fewer treatment interruptions. In the context of</w:t>
      </w:r>
    </w:p>
    <w:p>
      <w:pPr>
        <w:pStyle w:val="BodyText"/>
      </w:pPr>
      <w:r>
        <w:t xml:space="preserve">Germany Berlin, where multilingual environments are common, providing materials in multiple languages has proven essential for inclusive care.</w:t>
      </w:r>
    </w:p>
    <w:bookmarkEnd w:id="28"/>
    <w:bookmarkEnd w:id="29"/>
    <w:bookmarkStart w:id="31" w:name="future_directions"/>
    <w:bookmarkStart w:id="30" w:name="Xc3ff3ff1bdb47036b8220c0c09702147fce95e0"/>
    <w:p>
      <w:pPr>
        <w:pStyle w:val="Heading2"/>
      </w:pPr>
      <w:r>
        <w:t xml:space="preserve">Future Directions: AI and Tele-Orthodontics</w:t>
      </w:r>
    </w:p>
    <w:p>
      <w:pPr>
        <w:pStyle w:val="FirstParagraph"/>
      </w:pPr>
      <w:r>
        <w:t xml:space="preserve">The future of orthodontics in urban centers like</w:t>
      </w:r>
      <w:r>
        <w:t xml:space="preserve"> </w:t>
      </w:r>
      <w:r>
        <w:rPr>
          <w:bCs/>
          <w:b/>
        </w:rPr>
        <w:t xml:space="preserve">Germany Berlin</w:t>
      </w:r>
      <w:r>
        <w:t xml:space="preserve"> </w:t>
      </w:r>
      <w:r>
        <w:t xml:space="preserve">lies in Artificial Intelligence (AI) and tele-health. AI algorithms are now capable of predicting tooth movement trajectories with increasing accuracy, assisting the</w:t>
      </w:r>
    </w:p>
    <w:p>
      <w:pPr>
        <w:pStyle w:val="BodyText"/>
      </w:pPr>
      <w:r>
        <w:t xml:space="preserve">Orthodontist in creating optimal force vectors.</w:t>
      </w:r>
    </w:p>
    <w:p>
      <w:pPr>
        <w:pStyle w:val="BodyText"/>
      </w:pPr>
      <w:r>
        <w:t xml:space="preserve">We anticipate a rise in "hybrid" models where initial consultations and check-ups are conducted remotely via video conference, reducing the need for patients to take time off work—a significant benefit for busy professionals living in Berlin. This model requires strict validation of remote diagnosis protocols to ensure that patient safety remains uncompromised.</w:t>
      </w:r>
    </w:p>
    <w:bookmarkEnd w:id="30"/>
    <w:bookmarkEnd w:id="31"/>
    <w:bookmarkStart w:id="32" w:name="conclusion"/>
    <w:p>
      <w:pPr>
        <w:pStyle w:val="Heading2"/>
      </w:pPr>
      <w:r>
        <w:t xml:space="preserve">Conclusion</w:t>
      </w:r>
    </w:p>
    <w:p>
      <w:pPr>
        <w:pStyle w:val="FirstParagraph"/>
      </w:pPr>
      <w:r>
        <w:t xml:space="preserve">This poster presentation underscores the evolving role of the modern</w:t>
      </w:r>
      <w:r>
        <w:t xml:space="preserve"> </w:t>
      </w:r>
      <w:r>
        <w:rPr>
          <w:bCs/>
          <w:b/>
        </w:rPr>
        <w:t xml:space="preserve">Orthodontist</w:t>
      </w:r>
      <w:r>
        <w:t xml:space="preserve">. No longer just a technician for teeth alignment, today’s specialist is a digital health manager and patient educator. The specific context of</w:t>
      </w:r>
    </w:p>
    <w:p>
      <w:pPr>
        <w:pStyle w:val="BodyText"/>
      </w:pPr>
      <w:r>
        <w:t xml:space="preserve">Germany Berlin highlights a market that demands high precision, aesthetic discretion, and technological integration.</w:t>
      </w:r>
    </w:p>
    <w:p>
      <w:pPr>
        <w:pStyle w:val="BodyText"/>
      </w:pPr>
      <w:r>
        <w:t xml:space="preserve">By embracing digital workflows, adhering to strict data privacy laws, and fostering clear communication with diverse populations, orthodontic practices can thrive in this dynamic environment. The data presented herein confirms that the convergence of advanced technology and patient-centric care is the standard for excellence in contemporary orthodontics.</w:t>
      </w:r>
    </w:p>
    <w:bookmarkEnd w:id="32"/>
    <w:p>
      <w:pPr>
        <w:pStyle w:val="BodyText"/>
      </w:pPr>
      <w:r>
        <w:t xml:space="preserve">© 2023 Academic Poster Presentation Series. All Rights Reserved.</w:t>
      </w:r>
      <w:r>
        <w:br/>
      </w:r>
      <w:r>
        <w:t xml:space="preserve">For inquiries regarding data sets or clinical partnerships in Germany Berlin, please contact the office of the Chief Research Fellow.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Germany Berlin</dc:title>
  <dc:creator/>
  <dc:language>en</dc:language>
  <cp:keywords/>
  <dcterms:created xsi:type="dcterms:W3CDTF">2026-07-29T17:38:51Z</dcterms:created>
  <dcterms:modified xsi:type="dcterms:W3CDTF">2026-07-29T17:38:51Z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