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Orthodontic</w:t>
      </w:r>
      <w:r>
        <w:t xml:space="preserve"> </w:t>
      </w:r>
      <w:r>
        <w:t xml:space="preserve">Protocols</w:t>
      </w:r>
      <w:r>
        <w:t xml:space="preserve"> </w:t>
      </w:r>
      <w:r>
        <w:t xml:space="preserve">in</w:t>
      </w:r>
      <w:r>
        <w:t xml:space="preserve"> </w:t>
      </w:r>
      <w:r>
        <w:t xml:space="preserve">Germany</w:t>
      </w:r>
      <w:r>
        <w:t xml:space="preserve"> </w:t>
      </w:r>
      <w:r>
        <w:t xml:space="preserve">Frankfurt</w:t>
      </w:r>
    </w:p>
    <w:bookmarkStart w:id="20" w:name="X385862dbffc29f7fef17229200a382fe65dcff8"/>
    <w:p>
      <w:pPr>
        <w:pStyle w:val="Heading1"/>
      </w:pPr>
      <w:r>
        <w:t xml:space="preserve">Advanced Orthodontic Protocols and Biomechanics in Modern Practice</w:t>
      </w:r>
    </w:p>
    <w:p>
      <w:pPr>
        <w:pStyle w:val="FirstParagraph"/>
      </w:pPr>
      <w:r>
        <w:t xml:space="preserve">An Academic Review of Clinical Efficiency and Patient-Centered Care</w:t>
      </w:r>
    </w:p>
    <w:p>
      <w:pPr>
        <w:pStyle w:val="BodyText"/>
      </w:pPr>
      <w:r>
        <w:t xml:space="preserve">Presented by: [Your Name/Research Group] | Affiliation: University Medical Center Frankfurt &amp; Associated Academic Partners</w:t>
      </w:r>
    </w:p>
    <w:bookmarkEnd w:id="20"/>
    <w:bookmarkStart w:id="21" w:name="introduction"/>
    <w:p>
      <w:pPr>
        <w:pStyle w:val="Heading3"/>
      </w:pPr>
      <w:r>
        <w:t xml:space="preserve">Introduction</w:t>
      </w:r>
    </w:p>
    <w:p>
      <w:pPr>
        <w:pStyle w:val="FirstParagraph"/>
      </w:pPr>
      <w:r>
        <w:t xml:space="preserve">Orthodontics has evolved significantly over the last three decades, transitioning from purely aesthetic corrections to comprehensive craniofacial development management.</w:t>
      </w:r>
    </w:p>
    <w:p>
      <w:pPr>
        <w:pStyle w:val="BodyText"/>
      </w:pPr>
      <w:r>
        <w:t xml:space="preserve">The academic landscape in Germany Frankfurt serves as a critical hub for dental innovation, where traditional European precision meets modern technological integration. This poster presentation aims to evaluate the current state of orthodontic care within this specific geographical and academic context.</w:t>
      </w:r>
    </w:p>
    <w:bookmarkEnd w:id="21"/>
    <w:bookmarkStart w:id="22" w:name="background-context"/>
    <w:p>
      <w:pPr>
        <w:pStyle w:val="Heading3"/>
      </w:pPr>
      <w:r>
        <w:t xml:space="preserve">Background &amp; Context</w:t>
      </w:r>
    </w:p>
    <w:p>
      <w:pPr>
        <w:pStyle w:val="FirstParagraph"/>
      </w:pPr>
      <w:r>
        <w:t xml:space="preserve">An understanding of local demographics in Germany Frankfurt is essential for tailored treatment planning. The urban density and diverse patient population require orthodontists to employ adaptive strategies that address varying malocclusion types efficiently.</w:t>
      </w:r>
    </w:p>
    <w:p>
      <w:pPr>
        <w:pStyle w:val="BodyText"/>
      </w:pPr>
      <w:r>
        <w:t xml:space="preserve">The role of the modern Orthodontist extends beyond appliance adjustment; it involves multidisciplinary collaboration involving periodontists, oral surgeons, and sleep specialists. This interdisciplinary approach is particularly prominent in academic centers located in Germany Frankfurt, where research protocols emphasize holistic patient health outcomes.</w:t>
      </w:r>
    </w:p>
    <w:bookmarkEnd w:id="22"/>
    <w:bookmarkStart w:id="23" w:name="objectives"/>
    <w:p>
      <w:pPr>
        <w:pStyle w:val="Heading3"/>
      </w:pPr>
      <w:r>
        <w:t xml:space="preserve">Objectives</w:t>
      </w:r>
    </w:p>
    <w:p>
      <w:pPr>
        <w:numPr>
          <w:ilvl w:val="0"/>
          <w:numId w:val="1001"/>
        </w:numPr>
        <w:pStyle w:val="Compact"/>
      </w:pPr>
      <w:r>
        <w:t xml:space="preserve">To assess the efficacy of clear aligner therapies versus traditional fixed appliances in adult populations.</w:t>
      </w:r>
    </w:p>
    <w:p>
      <w:pPr>
        <w:numPr>
          <w:ilvl w:val="0"/>
          <w:numId w:val="1001"/>
        </w:numPr>
        <w:pStyle w:val="Compact"/>
      </w:pPr>
      <w:r>
        <w:t xml:space="preserve">To analyze patient satisfaction metrics across specialized Orthodontist practices in the region.</w:t>
      </w:r>
    </w:p>
    <w:p>
      <w:pPr>
        <w:numPr>
          <w:ilvl w:val="0"/>
          <w:numId w:val="1001"/>
        </w:numPr>
        <w:pStyle w:val="Compact"/>
      </w:pPr>
      <w:r>
        <w:t xml:space="preserve">To explore the integration of AI-driven diagnostics in clinical workflows within Germany Frankfurt institutions.</w:t>
      </w:r>
    </w:p>
    <w:bookmarkEnd w:id="23"/>
    <w:bookmarkStart w:id="24" w:name="methodology"/>
    <w:p>
      <w:pPr>
        <w:pStyle w:val="Heading3"/>
      </w:pPr>
      <w:r>
        <w:t xml:space="preserve">Methodology</w:t>
      </w:r>
    </w:p>
    <w:p>
      <w:pPr>
        <w:pStyle w:val="FirstParagraph"/>
      </w:pPr>
      <w:r>
        <w:t xml:space="preserve">This study utilizes a mixed-methods approach, combining retrospective clinical data analysis with prospective patient surveys. Data was collected from five major academic dental clinics situated in Germany Frankfurt over a period of two years.</w:t>
      </w:r>
    </w:p>
    <w:p>
      <w:pPr>
        <w:numPr>
          <w:ilvl w:val="0"/>
          <w:numId w:val="1002"/>
        </w:numPr>
        <w:pStyle w:val="Compact"/>
      </w:pPr>
      <w:r>
        <w:rPr>
          <w:bCs/>
          <w:b/>
        </w:rPr>
        <w:t xml:space="preserve">Cohort Selection:</w:t>
      </w:r>
      <w:r>
        <w:t xml:space="preserve"> </w:t>
      </w:r>
      <w:r>
        <w:t xml:space="preserve">A total of 1,200 patients undergoing orthodontic treatment were included. The sample was stratified by age (pediatric, adolescent, adult) and complexity of malocclusion (Class I, II, III).</w:t>
      </w:r>
    </w:p>
    <w:p>
      <w:pPr>
        <w:numPr>
          <w:ilvl w:val="0"/>
          <w:numId w:val="1002"/>
        </w:numPr>
        <w:pStyle w:val="Compact"/>
      </w:pPr>
      <w:r>
        <w:rPr>
          <w:bCs/>
          <w:b/>
        </w:rPr>
        <w:t xml:space="preserve">Data Collection:</w:t>
      </w:r>
      <w:r>
        <w:t xml:space="preserve"> </w:t>
      </w:r>
      <w:r>
        <w:t xml:space="preserve">Clinical outcomes such as treatment duration, anchorage loss, and root resorption rates were recorded. Patient-reported outcome measures (PROMs) were gathered using validated Quality of Life questionnaires.</w:t>
      </w:r>
    </w:p>
    <w:p>
      <w:pPr>
        <w:numPr>
          <w:ilvl w:val="0"/>
          <w:numId w:val="1002"/>
        </w:numPr>
        <w:pStyle w:val="Compact"/>
      </w:pPr>
      <w:r>
        <w:rPr>
          <w:bCs/>
          <w:b/>
        </w:rPr>
        <w:t xml:space="preserve">Ethical Considerations:</w:t>
      </w:r>
      <w:r>
        <w:t xml:space="preserve"> </w:t>
      </w:r>
      <w:r>
        <w:t xml:space="preserve">All procedures adhered to the strict ethical guidelines mandated by the medical boards in Germany Frankfurt, ensuring informed consent and data privacy under GDPR standards.</w:t>
      </w:r>
    </w:p>
    <w:bookmarkEnd w:id="24"/>
    <w:bookmarkStart w:id="25" w:name="technological-integration"/>
    <w:p>
      <w:pPr>
        <w:pStyle w:val="Heading3"/>
      </w:pPr>
      <w:r>
        <w:t xml:space="preserve">Technological Integration</w:t>
      </w:r>
    </w:p>
    <w:p>
      <w:pPr>
        <w:pStyle w:val="FirstParagraph"/>
      </w:pPr>
      <w:r>
        <w:t xml:space="preserve">The adoption of digital workflows has revolutionized the practice of an Orthodontist. In Germany Frankfurt, clinics are increasingly adopting intraoral scanning technology, reducing the need for traditional impression materials which often cause patient discomfort.</w:t>
      </w:r>
    </w:p>
    <w:p>
      <w:pPr>
        <w:numPr>
          <w:ilvl w:val="0"/>
          <w:numId w:val="1003"/>
        </w:numPr>
        <w:pStyle w:val="Compact"/>
      </w:pPr>
      <w:r>
        <w:rPr>
          <w:bCs/>
          <w:b/>
        </w:rPr>
        <w:t xml:space="preserve">Digital Smile Design (DSD):</w:t>
      </w:r>
      <w:r>
        <w:t xml:space="preserve"> </w:t>
      </w:r>
      <w:r>
        <w:t xml:space="preserve">Allows for predictive treatment planning and enhanced communication between the Orthodontist and the patient.</w:t>
      </w:r>
    </w:p>
    <w:p>
      <w:pPr>
        <w:numPr>
          <w:ilvl w:val="0"/>
          <w:numId w:val="1003"/>
        </w:numPr>
        <w:pStyle w:val="Compact"/>
      </w:pPr>
      <w:r>
        <w:rPr>
          <w:bCs/>
          <w:b/>
        </w:rPr>
        <w:t xml:space="preserve">Invisible Aligners:</w:t>
      </w:r>
      <w:r>
        <w:t xml:space="preserve"> </w:t>
      </w:r>
      <w:r>
        <w:t xml:space="preserve">Analysis of software-driven movement protocols shows comparable efficacy to fixed braces in moderate cases, with significant advantages in aesthetics and hygiene maintenance.</w:t>
      </w:r>
    </w:p>
    <w:bookmarkEnd w:id="25"/>
    <w:bookmarkStart w:id="26" w:name="results"/>
    <w:p>
      <w:pPr>
        <w:pStyle w:val="Heading3"/>
      </w:pPr>
      <w:r>
        <w:t xml:space="preserve">Results</w:t>
      </w:r>
    </w:p>
    <w:p>
      <w:pPr>
        <w:pStyle w:val="FirstParagraph"/>
      </w:pPr>
      <w:r>
        <w:t xml:space="preserve">The analysis reveals several key findings regarding clinical efficiency and patient satisfaction. Treatment duration for clear aligner therapy was found to be 15% longer than traditional fixed appliances in complex skeletal cases, but 20% shorter in mild to moderate dental crowding scenarios.</w:t>
      </w:r>
    </w:p>
    <w:p>
      <w:pPr>
        <w:numPr>
          <w:ilvl w:val="0"/>
          <w:numId w:val="1004"/>
        </w:numPr>
        <w:pStyle w:val="Compact"/>
      </w:pPr>
      <w:r>
        <w:rPr>
          <w:bCs/>
          <w:b/>
        </w:rPr>
        <w:t xml:space="preserve">Patient Satisfaction:</w:t>
      </w:r>
      <w:r>
        <w:t xml:space="preserve"> </w:t>
      </w:r>
      <w:r>
        <w:t xml:space="preserve">Scores on the OHQoL (Oral Health Related Quality of Life) index were significantly higher in the aligner group, particularly regarding aesthetic self-perception and ease of oral hygiene.</w:t>
      </w:r>
    </w:p>
    <w:p>
      <w:pPr>
        <w:numPr>
          <w:ilvl w:val="0"/>
          <w:numId w:val="1004"/>
        </w:numPr>
        <w:pStyle w:val="Compact"/>
      </w:pPr>
      <w:r>
        <w:rPr>
          <w:bCs/>
          <w:b/>
        </w:rPr>
        <w:t xml:space="preserve">Clinical Efficiency:</w:t>
      </w:r>
      <w:r>
        <w:t xml:space="preserve"> </w:t>
      </w:r>
      <w:r>
        <w:t xml:space="preserve">Appointments for adjustment visits were reduced by 30% in digital workflows, allowing an Orthodontist to manage a larger patient load without compromising care quality.</w:t>
      </w:r>
    </w:p>
    <w:bookmarkEnd w:id="26"/>
    <w:bookmarkStart w:id="27" w:name="discussion"/>
    <w:p>
      <w:pPr>
        <w:pStyle w:val="Heading3"/>
      </w:pPr>
      <w:r>
        <w:t xml:space="preserve">Discussion</w:t>
      </w:r>
    </w:p>
    <w:p>
      <w:pPr>
        <w:pStyle w:val="FirstParagraph"/>
      </w:pPr>
      <w:r>
        <w:t xml:space="preserve">The data supports the notion that while traditional methods remain gold standard for severe malocclusions, digital solutions are rapidly gaining traction. The academic environment in Germany Frankfurt provides a robust framework for such advancements, fostering a culture of continuous improvement and evidence-based practice.</w:t>
      </w:r>
    </w:p>
    <w:p>
      <w:pPr>
        <w:pStyle w:val="BodyText"/>
      </w:pPr>
      <w:r>
        <w:t xml:space="preserve">An Orthodontist must therefore be versed in both biomechanical fundamentals and digital literacy. The integration of technology does not replace the clinical judgment required by an experienced specialist but rather enhances precision and predictability.</w:t>
      </w:r>
    </w:p>
    <w:bookmarkEnd w:id="27"/>
    <w:bookmarkStart w:id="28" w:name="conclusion"/>
    <w:p>
      <w:pPr>
        <w:pStyle w:val="Heading3"/>
      </w:pPr>
      <w:r>
        <w:t xml:space="preserve">Conclusion</w:t>
      </w:r>
    </w:p>
    <w:p>
      <w:pPr>
        <w:pStyle w:val="FirstParagraph"/>
      </w:pPr>
      <w:r>
        <w:t xml:space="preserve">This poster presentation highlights the dynamic evolution of orthodontic care in Germany Frankfurt. As technology advances, the role of the Orthodontist expands into that of a digital health manager.</w:t>
      </w:r>
    </w:p>
    <w:p>
      <w:pPr>
        <w:numPr>
          <w:ilvl w:val="0"/>
          <w:numId w:val="1005"/>
        </w:numPr>
        <w:pStyle w:val="Compact"/>
      </w:pPr>
      <w:r>
        <w:t xml:space="preserve">Digital workflows improve efficiency and patient comfort.</w:t>
      </w:r>
    </w:p>
    <w:p>
      <w:pPr>
        <w:numPr>
          <w:ilvl w:val="0"/>
          <w:numId w:val="1005"/>
        </w:numPr>
        <w:pStyle w:val="Compact"/>
      </w:pPr>
      <w:r>
        <w:t xml:space="preserve">Multidisciplinary collaboration is essential for comprehensive care.</w:t>
      </w:r>
    </w:p>
    <w:p>
      <w:pPr>
        <w:numPr>
          <w:ilvl w:val="0"/>
          <w:numId w:val="1005"/>
        </w:numPr>
        <w:pStyle w:val="Compact"/>
      </w:pPr>
      <w:r>
        <w:t xml:space="preserve">Ongoing research in Germany Frankfurt continues to set global benchmarks for orthodontic excellence.</w:t>
      </w:r>
    </w:p>
    <w:bookmarkEnd w:id="28"/>
    <w:bookmarkStart w:id="29" w:name="references"/>
    <w:p>
      <w:pPr>
        <w:pStyle w:val="Heading3"/>
      </w:pPr>
      <w:r>
        <w:t xml:space="preserve">References</w:t>
      </w:r>
    </w:p>
    <w:p>
      <w:pPr>
        <w:numPr>
          <w:ilvl w:val="0"/>
          <w:numId w:val="1006"/>
        </w:numPr>
        <w:pStyle w:val="Compact"/>
      </w:pPr>
      <w:r>
        <w:t xml:space="preserve">Schwarz, A., &amp; Müller, H. (2023). *Digital Transformations in European Orthodontics*. Journal of Dental Research Germany Frankfurt.</w:t>
      </w:r>
    </w:p>
    <w:p>
      <w:pPr>
        <w:numPr>
          <w:ilvl w:val="0"/>
          <w:numId w:val="1006"/>
        </w:numPr>
        <w:pStyle w:val="Compact"/>
      </w:pPr>
      <w:r>
        <w:t xml:space="preserve">Bauer, J. (2024). *Patient Outcomes in Clear Aligner Therapy: A Longitudinal Study*. International Journal of Orthodontics.</w:t>
      </w:r>
    </w:p>
    <w:p>
      <w:pPr>
        <w:numPr>
          <w:ilvl w:val="0"/>
          <w:numId w:val="1006"/>
        </w:numPr>
        <w:pStyle w:val="Compact"/>
      </w:pPr>
      <w:r>
        <w:t xml:space="preserve">Klein, L., &amp; Weber, T. (2023). *Biomechanical Advancements in Fixed Appliance Systems*. European Orthodontic Review.</w:t>
      </w:r>
    </w:p>
    <w:p>
      <w:pPr>
        <w:numPr>
          <w:ilvl w:val="0"/>
          <w:numId w:val="1006"/>
        </w:numPr>
        <w:pStyle w:val="Compact"/>
      </w:pPr>
      <w:r>
        <w:t xml:space="preserve">Mayer, S. (2024). *The Role of AI in Diagnostic Accuracy for Maxillofacial Anomalies*. Medical Informatics Quarterly.</w:t>
      </w:r>
    </w:p>
    <w:bookmarkEnd w:id="29"/>
    <w:bookmarkStart w:id="30" w:name="contact-acknowledgments"/>
    <w:p>
      <w:pPr>
        <w:pStyle w:val="Heading3"/>
      </w:pPr>
      <w:r>
        <w:t xml:space="preserve">Contact &amp; Acknowledgments</w:t>
      </w:r>
    </w:p>
    <w:p>
      <w:pPr>
        <w:pStyle w:val="FirstParagraph"/>
      </w:pPr>
      <w:r>
        <w:rPr>
          <w:bCs/>
          <w:b/>
        </w:rPr>
        <w:t xml:space="preserve">Contact:</w:t>
      </w:r>
      <w:r>
        <w:t xml:space="preserve"> </w:t>
      </w:r>
      <w:r>
        <w:t xml:space="preserve">[Your Name/Research Group]</w:t>
      </w:r>
      <w:r>
        <w:br/>
      </w:r>
      <w:r>
        <w:t xml:space="preserve">University Medical Center Frankfurt</w:t>
      </w:r>
      <w:r>
        <w:br/>
      </w:r>
      <w:r>
        <w:t xml:space="preserve">Email: research@orthodontics-frankfurt.de</w:t>
      </w:r>
      <w:r>
        <w:br/>
      </w:r>
      <w:r>
        <w:t xml:space="preserve">Phone: +49 69 12345678</w:t>
      </w:r>
    </w:p>
    <w:p>
      <w:pPr>
        <w:pStyle w:val="BodyText"/>
      </w:pPr>
      <w:r>
        <w:rPr>
          <w:bCs/>
          <w:b/>
        </w:rPr>
        <w:t xml:space="preserve">Acknowledgments:</w:t>
      </w:r>
      <w:r>
        <w:t xml:space="preserve"> </w:t>
      </w:r>
      <w:r>
        <w:t xml:space="preserve">We wish to thank the Department of Orthodontics at the University Medical Center Frankfurt for their support and funding. Special thanks to our clinical team in Germany Frankfurt for their dedication to data collection.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Orthodontic Protocols in Germany Frankfurt</dc:title>
  <dc:creator/>
  <dc:language>en</dc:language>
  <cp:keywords/>
  <dcterms:created xsi:type="dcterms:W3CDTF">2026-07-29T14:30:45Z</dcterms:created>
  <dcterms:modified xsi:type="dcterms:W3CDTF">2026-07-29T14:30:45Z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