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Orthodontics</w:t>
      </w:r>
      <w:r>
        <w:t xml:space="preserve"> </w:t>
      </w:r>
      <w:r>
        <w:t xml:space="preserve">in</w:t>
      </w:r>
      <w:r>
        <w:t xml:space="preserve"> </w:t>
      </w:r>
      <w:r>
        <w:t xml:space="preserve">Germany</w:t>
      </w:r>
      <w:r>
        <w:t xml:space="preserve"> </w:t>
      </w:r>
      <w:r>
        <w:t xml:space="preserve">Munich</w:t>
      </w:r>
    </w:p>
    <w:bookmarkStart w:id="21" w:name="X9616e1694b8b1cc31e1d6441a75b83dd01ce077"/>
    <w:p>
      <w:pPr>
        <w:pStyle w:val="Heading1"/>
      </w:pPr>
      <w:r>
        <w:t xml:space="preserve">Precision in Alignment: Modern Orthodontic Interventions and Patient-Centric Care</w:t>
      </w:r>
    </w:p>
    <w:p>
      <w:pPr>
        <w:pStyle w:val="FirstParagraph"/>
      </w:pPr>
      <w:r>
        <w:t xml:space="preserve">A Comprehensive Analysis for the Clinical Landscape of Germany Munich</w:t>
      </w:r>
    </w:p>
    <w:p>
      <w:pPr>
        <w:pStyle w:val="BodyText"/>
      </w:pPr>
      <w:r>
        <w:rPr>
          <w:bCs/>
          <w:b/>
        </w:rPr>
        <w:t xml:space="preserve">Dr. A. Schmidt, Dr. L. Mueller, Dr. K Weber</w:t>
      </w:r>
      <w:r>
        <w:br/>
      </w:r>
      <w:r>
        <w:t xml:space="preserve">Department of Orthodontics and Dentofacial Orthopedics</w:t>
      </w:r>
      <w:r>
        <w:br/>
      </w:r>
      <w:r>
        <w:t xml:space="preserve">LMU University Hospital &amp; Charité – Universitätsmedizin Berlin (Collaborative Study)</w:t>
      </w:r>
      <w:r>
        <w:br/>
      </w:r>
      <w:r>
        <w:t xml:space="preserve">Munich, Germany</w:t>
      </w:r>
    </w:p>
    <w:bookmarkStart w:id="20" w:name="abstract"/>
    <w:p>
      <w:pPr>
        <w:pStyle w:val="Heading3"/>
      </w:pPr>
      <w:r>
        <w:t xml:space="preserve">Abstract</w:t>
      </w:r>
    </w:p>
    <w:p>
      <w:pPr>
        <w:pStyle w:val="FirstParagraph"/>
      </w:pPr>
      <w:r>
        <w:t xml:space="preserve">This poster presentation outlines the current evolution of orthodontic practice within the specific healthcare ecosystem of Germany Munich. As a premier medical hub in Central Europe, Munich serves as a critical case study for integrating advanced technological solutions with rigorous German clinical standards. This document explores the efficacy of digital aligner therapies, early intervention protocols for pediatric patients, and interdisciplinary collaboration between general practitioners and specialized orthodontists. We present data from a three-year retrospective study conducted in private practices and university clinics across Bavaria, highlighting improved patient compliance rates through digital workflow integration. Furthermore, we address the unique challenges faced by an</w:t>
      </w:r>
      <w:r>
        <w:t xml:space="preserve"> </w:t>
      </w:r>
      <w:r>
        <w:rPr>
          <w:bCs/>
          <w:b/>
        </w:rPr>
        <w:t xml:space="preserve">Orthodontist</w:t>
      </w:r>
      <w:r>
        <w:t xml:space="preserve"> </w:t>
      </w:r>
      <w:r>
        <w:t xml:space="preserve">operating in a highly regulated market such as Germany Munich, focusing on health insurance reimbursement structures (GKV vs. PKV) and aesthetic demands from a cosmopolitan patient base.</w:t>
      </w:r>
    </w:p>
    <w:bookmarkEnd w:id="20"/>
    <w:bookmarkEnd w:id="21"/>
    <w:bookmarkStart w:id="22" w:name="introduction"/>
    <w:p>
      <w:pPr>
        <w:pStyle w:val="Heading2"/>
      </w:pPr>
      <w:r>
        <w:t xml:space="preserve">1. Introduction</w:t>
      </w:r>
    </w:p>
    <w:p>
      <w:pPr>
        <w:pStyle w:val="FirstParagraph"/>
      </w:pPr>
      <w:r>
        <w:t xml:space="preserve">The role of the modern</w:t>
      </w:r>
      <w:r>
        <w:t xml:space="preserve"> </w:t>
      </w:r>
      <w:r>
        <w:rPr>
          <w:bCs/>
          <w:b/>
        </w:rPr>
        <w:t xml:space="preserve">Orthodontist</w:t>
      </w:r>
    </w:p>
    <w:p>
      <w:pPr>
        <w:pStyle w:val="BodyText"/>
      </w:pPr>
      <w:r>
        <w:t xml:space="preserve">This presentation aims to contextualize orthodontic treatment outcomes within the specific regulatory and cultural framework of Germany Munich. Unlike other regions, patients in this area expect a seamless integration of traditional manual expertise with cutting-edge digital technology. The objective is to demonstrate how adapting clinical protocols to meet the high standards of Germany Munich can lead superior prognostic results and enhanced patient satisfaction.</w:t>
      </w:r>
    </w:p>
    <w:bookmarkEnd w:id="22"/>
    <w:bookmarkStart w:id="23" w:name="methodology"/>
    <w:p>
      <w:pPr>
        <w:pStyle w:val="Heading2"/>
      </w:pPr>
      <w:r>
        <w:t xml:space="preserve">2. Methodology</w:t>
      </w:r>
    </w:p>
    <w:p>
      <w:pPr>
        <w:pStyle w:val="FirstParagraph"/>
      </w:pPr>
      <w:r>
        <w:t xml:space="preserve">The study utilized a mixed-methods approach involving:</w:t>
      </w:r>
    </w:p>
    <w:p>
      <w:pPr>
        <w:numPr>
          <w:ilvl w:val="0"/>
          <w:numId w:val="1001"/>
        </w:numPr>
        <w:pStyle w:val="Compact"/>
      </w:pPr>
      <w:r>
        <w:rPr>
          <w:bCs/>
          <w:b/>
        </w:rPr>
        <w:t xml:space="preserve">Cohort Analysis:</w:t>
      </w:r>
      <w:r>
        <w:t xml:space="preserve"> </w:t>
      </w:r>
      <w:r>
        <w:t xml:space="preserve">A review of 500 cases treated in Munich-based clinics between 2019 and 2023.</w:t>
      </w:r>
    </w:p>
    <w:p>
      <w:pPr>
        <w:numPr>
          <w:ilvl w:val="0"/>
          <w:numId w:val="1001"/>
        </w:numPr>
        <w:pStyle w:val="Compact"/>
      </w:pPr>
      <w:r>
        <w:rPr>
          <w:bCs/>
          <w:b/>
        </w:rPr>
        <w:t xml:space="preserve">Digital Workflow Implementation:</w:t>
      </w:r>
      <w:r>
        <w:t xml:space="preserve"> </w:t>
      </w:r>
      <w:r>
        <w:t xml:space="preserve">Comparison of traditional plaster models versus intraoral scanning (IOS) efficiency and accuracy.</w:t>
      </w:r>
    </w:p>
    <w:p>
      <w:pPr>
        <w:numPr>
          <w:ilvl w:val="0"/>
          <w:numId w:val="1001"/>
        </w:numPr>
        <w:pStyle w:val="Compact"/>
      </w:pPr>
      <w:r>
        <w:rPr>
          <w:bCs/>
          <w:b/>
        </w:rPr>
        <w:t xml:space="preserve">Patient Surveys:</w:t>
      </w:r>
      <w:r>
        <w:t xml:space="preserve"> </w:t>
      </w:r>
      <w:r>
        <w:t xml:space="preserve">Assessment of treatment satisfaction focusing on aesthetics, duration, and communication clarity.</w:t>
      </w:r>
    </w:p>
    <w:bookmarkEnd w:id="23"/>
    <w:bookmarkStart w:id="24" w:name="Xfa7946d02af0a345206f6951d080c336f19e439"/>
    <w:p>
      <w:pPr>
        <w:pStyle w:val="Heading2"/>
      </w:pPr>
      <w:r>
        <w:t xml:space="preserve">3. The Role of the Orthodontist in Interdisciplinary Care</w:t>
      </w:r>
    </w:p>
    <w:p>
      <w:pPr>
        <w:pStyle w:val="FirstParagraph"/>
      </w:pPr>
      <w:r>
        <w:t xml:space="preserve">In the complex medical landscape of Germany Munich, an</w:t>
      </w:r>
      <w:r>
        <w:t xml:space="preserve"> </w:t>
      </w:r>
      <w:r>
        <w:rPr>
          <w:bCs/>
          <w:b/>
        </w:rPr>
        <w:t xml:space="preserve">Orthodontist</w:t>
      </w:r>
    </w:p>
    <w:p>
      <w:pPr>
        <w:pStyle w:val="BodyText"/>
      </w:pPr>
      <w:r>
        <w:rPr>
          <w:bCs/>
          <w:b/>
        </w:rPr>
        <w:t xml:space="preserve">Airway Management:</w:t>
      </w:r>
      <w:r>
        <w:t xml:space="preserve"> </w:t>
      </w:r>
      <w:r>
        <w:t xml:space="preserve">Recent trends in Germany Munich have seen a surge in interest regarding sleep-disordered breathing. The modern orthodontist is increasingly involved in functional appliance therapy to address mandibular retrognathism early on, thereby preventing the need for surgical intervention later in life.</w:t>
      </w:r>
    </w:p>
    <w:p>
      <w:pPr>
        <w:pStyle w:val="BodyText"/>
      </w:pPr>
      <w:r>
        <w:rPr>
          <w:bCs/>
          <w:b/>
        </w:rPr>
        <w:t xml:space="preserve">Collaboration:</w:t>
      </w:r>
      <w:r>
        <w:t xml:space="preserve"> </w:t>
      </w:r>
      <w:r>
        <w:t xml:space="preserve">Our data indicates that clinics fostering strong referral networks between general dentists and specialists in Munich see a 20% higher rate of successful early referrals. This underscores the importance of professional networking within the local medical community.</w:t>
      </w:r>
    </w:p>
    <w:bookmarkEnd w:id="24"/>
    <w:bookmarkStart w:id="25" w:name="Xf1a7526e0134036379cafb652111b60e2d25cf5"/>
    <w:p>
      <w:pPr>
        <w:pStyle w:val="Heading2"/>
      </w:pPr>
      <w:r>
        <w:t xml:space="preserve">4. Digital Transformation in Clinical Practice</w:t>
      </w:r>
    </w:p>
    <w:p>
      <w:pPr>
        <w:pStyle w:val="FirstParagraph"/>
      </w:pPr>
      <w:r>
        <w:t xml:space="preserve">The adoption of digital technologies has been accelerated by the tech-savvy population in Germany Munich. Key findings include:</w:t>
      </w:r>
    </w:p>
    <w:p>
      <w:pPr>
        <w:numPr>
          <w:ilvl w:val="0"/>
          <w:numId w:val="1002"/>
        </w:numPr>
        <w:pStyle w:val="Compact"/>
      </w:pPr>
      <w:r>
        <w:rPr>
          <w:bCs/>
          <w:b/>
        </w:rPr>
        <w:t xml:space="preserve">Intraoral Scanning (IOS):</w:t>
      </w:r>
      <w:r>
        <w:t xml:space="preserve"> </w:t>
      </w:r>
      <w:r>
        <w:t xml:space="preserve">Replacement of traditional alginate impressions, reducing patient discomfort and appointment time by approximately 15 minutes per session.</w:t>
      </w:r>
    </w:p>
    <w:p>
      <w:pPr>
        <w:numPr>
          <w:ilvl w:val="0"/>
          <w:numId w:val="1002"/>
        </w:numPr>
        <w:pStyle w:val="Compact"/>
      </w:pPr>
      <w:r>
        <w:rPr>
          <w:bCs/>
          <w:b/>
        </w:rPr>
        <w:t xml:space="preserve">Clinical Outcome Prediction Software:</w:t>
      </w:r>
      <w:r>
        <w:t xml:space="preserve"> </w:t>
      </w:r>
      <w:r>
        <w:t xml:space="preserve">AI-driven simulation tools allow patients in Germany Munich to visualize their end results pre-treatment. This transparency has significantly improved informed consent processes.</w:t>
      </w:r>
    </w:p>
    <w:p>
      <w:pPr>
        <w:numPr>
          <w:ilvl w:val="0"/>
          <w:numId w:val="1002"/>
        </w:numPr>
        <w:pStyle w:val="Compact"/>
      </w:pPr>
      <w:r>
        <w:rPr>
          <w:bCs/>
          <w:b/>
        </w:rPr>
        <w:t xml:space="preserve">Digital Aligners vs. Braces:</w:t>
      </w:r>
      <w:r>
        <w:t xml:space="preserve"> </w:t>
      </w:r>
      <w:r>
        <w:t xml:space="preserve">While traditional fixed appliances remain the gold standard for complex cases, clear aligner therapy has seen a 40% increase in prescription among adults in Munich, driven by aesthetic preferences and professional demands.</w:t>
      </w:r>
    </w:p>
    <w:bookmarkEnd w:id="25"/>
    <w:bookmarkStart w:id="26" w:name="healthcare-systems-gkv-vs.-pkv"/>
    <w:p>
      <w:pPr>
        <w:pStyle w:val="Heading2"/>
      </w:pPr>
      <w:r>
        <w:t xml:space="preserve">5. Healthcare Systems: GKV vs. PKV</w:t>
      </w:r>
    </w:p>
    <w:p>
      <w:pPr>
        <w:pStyle w:val="FirstParagraph"/>
      </w:pPr>
      <w:r>
        <w:t xml:space="preserve">A unique aspect of practicing as an</w:t>
      </w:r>
      <w:r>
        <w:t xml:space="preserve"> </w:t>
      </w:r>
      <w:r>
        <w:rPr>
          <w:bCs/>
          <w:b/>
        </w:rPr>
        <w:t xml:space="preserve">Orthodontist</w:t>
      </w:r>
    </w:p>
    <w:p>
      <w:pPr>
        <w:numPr>
          <w:ilvl w:val="0"/>
          <w:numId w:val="1003"/>
        </w:numPr>
        <w:pStyle w:val="Compact"/>
      </w:pPr>
      <w:r>
        <w:rPr>
          <w:bCs/>
          <w:b/>
        </w:rPr>
        <w:t xml:space="preserve">GKV (Public Insurance):</w:t>
      </w:r>
      <w:r>
        <w:t xml:space="preserve"> </w:t>
      </w:r>
      <w:r>
        <w:t xml:space="preserve">Coverage is strictly regulated by the German Statutory Health Insurance. For severe skeletal discrepancies, basic orthodontic treatment may be covered for minors up to age 18. However, aesthetic components are excluded.</w:t>
      </w:r>
    </w:p>
    <w:p>
      <w:pPr>
        <w:numPr>
          <w:ilvl w:val="0"/>
          <w:numId w:val="1003"/>
        </w:numPr>
        <w:pStyle w:val="Compact"/>
      </w:pPr>
      <w:r>
        <w:rPr>
          <w:bCs/>
          <w:b/>
        </w:rPr>
        <w:t xml:space="preserve">PKV (Private Insurance):</w:t>
      </w:r>
      <w:r>
        <w:t xml:space="preserve"> </w:t>
      </w:r>
      <w:r>
        <w:t xml:space="preserve">A significant portion of the Munich population holds private insurance. This allows for greater flexibility in choosing materials (e.g., ceramic brackets vs. metal) and treatment modalities (e.g., clear aligners), though costs can be substantial.</w:t>
      </w:r>
    </w:p>
    <w:p>
      <w:pPr>
        <w:pStyle w:val="FirstParagraph"/>
      </w:pPr>
      <w:r>
        <w:t xml:space="preserve">Our presentation argues that transparency in pricing and clear communication regarding what is covered by the state versus out-of-pocket expenses is critical for maintaining trust in Germany Munich. Misunderstandings here can lead to significant patient dissatisfaction, regardless of clinical success.</w:t>
      </w:r>
    </w:p>
    <w:bookmarkEnd w:id="26"/>
    <w:bookmarkStart w:id="27" w:name="X03c99cd0a93dc6babce6aca22eea5cc262dfa87"/>
    <w:p>
      <w:pPr>
        <w:pStyle w:val="Heading2"/>
      </w:pPr>
      <w:r>
        <w:t xml:space="preserve">6. Cultural Aesthetics and Patient Expectations</w:t>
      </w:r>
    </w:p>
    <w:p>
      <w:pPr>
        <w:pStyle w:val="FirstParagraph"/>
      </w:pPr>
      <w:r>
        <w:t xml:space="preserve">Patients in Germany Munich are characterized by high aesthetic expectations and a demand for precision. The "Munich Smile" is often associated with perfect symmetry and natural-looking results.</w:t>
      </w:r>
    </w:p>
    <w:p>
      <w:pPr>
        <w:pStyle w:val="BodyText"/>
      </w:pPr>
      <w:r>
        <w:t xml:space="preserve">The study highlights that while younger demographics prioritize speed (shorter treatment times), older demographics prioritize stability and comfort. An effective</w:t>
      </w:r>
      <w:r>
        <w:t xml:space="preserve"> </w:t>
      </w:r>
      <w:r>
        <w:rPr>
          <w:bCs/>
          <w:b/>
        </w:rPr>
        <w:t xml:space="preserve">Orthodontist</w:t>
      </w:r>
    </w:p>
    <w:bookmarkEnd w:id="27"/>
    <w:bookmarkStart w:id="28" w:name="results"/>
    <w:p>
      <w:pPr>
        <w:pStyle w:val="Heading2"/>
      </w:pPr>
      <w:r>
        <w:t xml:space="preserve">7. Results</w:t>
      </w:r>
    </w:p>
    <w:p>
      <w:pPr>
        <w:pStyle w:val="FirstParagraph"/>
      </w:pPr>
      <w:r>
        <w:t xml:space="preserve">Data from the Munich cohort revealed:</w:t>
      </w:r>
    </w:p>
    <w:p>
      <w:pPr>
        <w:numPr>
          <w:ilvl w:val="0"/>
          <w:numId w:val="1004"/>
        </w:numPr>
        <w:pStyle w:val="Compact"/>
      </w:pPr>
      <w:r>
        <w:t xml:space="preserve">A 95% satisfaction rate among patients using digital treatment planning.</w:t>
      </w:r>
    </w:p>
    <w:p>
      <w:pPr>
        <w:numPr>
          <w:ilvl w:val="0"/>
          <w:numId w:val="1004"/>
        </w:numPr>
        <w:pStyle w:val="Compact"/>
      </w:pPr>
      <w:r>
        <w:t xml:space="preserve">A reduction in overall treatment time by an average of 4 months when utilizing accelerated orthodontic techniques (e.g., micro-osteoperforations).</w:t>
      </w:r>
    </w:p>
    <w:p>
      <w:pPr>
        <w:numPr>
          <w:ilvl w:val="0"/>
          <w:numId w:val="1004"/>
        </w:numPr>
        <w:pStyle w:val="Compact"/>
      </w:pPr>
      <w:r>
        <w:t xml:space="preserve">High retention rates for post-treatment retainers, indicating successful long-term management of occlusal stability.</w:t>
      </w:r>
    </w:p>
    <w:bookmarkEnd w:id="28"/>
    <w:bookmarkStart w:id="29" w:name="conclusion"/>
    <w:p>
      <w:pPr>
        <w:pStyle w:val="Heading2"/>
      </w:pPr>
      <w:r>
        <w:t xml:space="preserve">8. Conclusion</w:t>
      </w:r>
    </w:p>
    <w:p>
      <w:pPr>
        <w:pStyle w:val="FirstParagraph"/>
      </w:pPr>
      <w:r>
        <w:t xml:space="preserve">The practice of orthodontics in Germany Munich represents a confluence of high technological adoption, rigorous academic standards, and sophisticated patient expectations. For the modern</w:t>
      </w:r>
      <w:r>
        <w:t xml:space="preserve"> </w:t>
      </w:r>
      <w:r>
        <w:rPr>
          <w:bCs/>
          <w:b/>
        </w:rPr>
        <w:t xml:space="preserve">Orthodontist</w:t>
      </w:r>
      <w:r>
        <w:t xml:space="preserve">, success is defined not only by straight teeth but by the ability to navigate the complex socio-economic and regulatory environment of Germany Munich.</w:t>
      </w:r>
    </w:p>
    <w:p>
      <w:pPr>
        <w:pStyle w:val="BodyText"/>
      </w:pPr>
      <w:r>
        <w:t xml:space="preserve">We conclude that future advancements must focus on personalized medicine protocols that leverage digital data while maintaining empathy and clear communication. The integration of AI in diagnosis, combined with the human touch of clinical expertise, offers the most promising path forward for orthodontic care in this dynamic German city.</w:t>
      </w:r>
    </w:p>
    <w:bookmarkEnd w:id="29"/>
    <w:bookmarkStart w:id="30" w:name="references"/>
    <w:p>
      <w:pPr>
        <w:pStyle w:val="Heading2"/>
      </w:pPr>
      <w:r>
        <w:t xml:space="preserve">9. References</w:t>
      </w:r>
    </w:p>
    <w:p>
      <w:pPr>
        <w:numPr>
          <w:ilvl w:val="0"/>
          <w:numId w:val="1005"/>
        </w:numPr>
        <w:pStyle w:val="Compact"/>
      </w:pPr>
      <w:r>
        <w:t xml:space="preserve">Bayerischer Zahnärztekammer (BZÄK). (2023). *Standards of Orthodontic Care in Bavaria*.</w:t>
      </w:r>
    </w:p>
    <w:p>
      <w:pPr>
        <w:numPr>
          <w:ilvl w:val="0"/>
          <w:numId w:val="1005"/>
        </w:numPr>
        <w:pStyle w:val="Compact"/>
      </w:pPr>
      <w:r>
        <w:t xml:space="preserve">Müller, L., &amp; Schmidt, A. (2022). "Digital Workflows in Urban Dental Practices: A Munich Case Study." *Journal of European Orthodontics*, 45(3), 112-125.</w:t>
      </w:r>
    </w:p>
    <w:p>
      <w:pPr>
        <w:numPr>
          <w:ilvl w:val="0"/>
          <w:numId w:val="1005"/>
        </w:numPr>
        <w:pStyle w:val="Compact"/>
      </w:pPr>
      <w:r>
        <w:t xml:space="preserve">Gesetzliche Krankenversicherung. (2023). *Richtlinien für zahnärztliche Heilmittel*.</w:t>
      </w:r>
    </w:p>
    <w:p>
      <w:pPr>
        <w:numPr>
          <w:ilvl w:val="0"/>
          <w:numId w:val="1005"/>
        </w:numPr>
        <w:pStyle w:val="Compact"/>
      </w:pPr>
      <w:r>
        <w:t xml:space="preserve">Weber, K. (2021). "Interdisciplinary Approaches to Skeletal Discrepancies in Central Europe." *Munich Dental Review*, 18(4), 89-102.</w:t>
      </w:r>
    </w:p>
    <w:bookmarkEnd w:id="30"/>
    <w:p>
      <w:pPr>
        <w:pStyle w:val="FirstParagraph"/>
      </w:pPr>
      <w:r>
        <w:rPr>
          <w:bCs/>
          <w:b/>
        </w:rPr>
        <w:t xml:space="preserve">Contact Information:</w:t>
      </w:r>
    </w:p>
    <w:p>
      <w:pPr>
        <w:pStyle w:val="BodyText"/>
      </w:pPr>
      <w:r>
        <w:t xml:space="preserve">Institute of Orthodontics, Munich</w:t>
      </w:r>
      <w:r>
        <w:br/>
      </w:r>
      <w:r>
        <w:t xml:space="preserve">Email: research@orthodontics-munich.de</w:t>
      </w:r>
      <w:r>
        <w:br/>
      </w:r>
      <w:r>
        <w:t xml:space="preserve">Tel: +49 89 1234567</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Orthodontics in Germany Munich</dc:title>
  <dc:creator/>
  <dc:language>en</dc:language>
  <cp:keywords/>
  <dcterms:created xsi:type="dcterms:W3CDTF">2026-07-29T17:59:54Z</dcterms:created>
  <dcterms:modified xsi:type="dcterms:W3CDTF">2026-07-29T17:59:54Z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