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Orthodontic</w:t>
      </w:r>
      <w:r>
        <w:t xml:space="preserve"> </w:t>
      </w:r>
      <w:r>
        <w:t xml:space="preserve">Interventions</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X5812ce3ffac642d1b054f67027da8c28e3a81f1"/>
    <w:p>
      <w:pPr>
        <w:pStyle w:val="Heading1"/>
      </w:pPr>
      <w:r>
        <w:t xml:space="preserve">Optimizing Craniofacial Development and Aesthetic Outcomes</w:t>
      </w:r>
    </w:p>
    <w:bookmarkStart w:id="20" w:name="X9f375a81b06c3851fa225e6fe7079694f4b343f"/>
    <w:p>
      <w:pPr>
        <w:pStyle w:val="Heading2"/>
      </w:pPr>
      <w:r>
        <w:t xml:space="preserve">A Comprehensive Review of Modern Orthodontic Strategies in the New Zealand Wellington Region</w:t>
      </w:r>
    </w:p>
    <w:p>
      <w:pPr>
        <w:pStyle w:val="FirstParagraph"/>
      </w:pPr>
      <w:r>
        <w:rPr>
          <w:bCs/>
          <w:b/>
        </w:rPr>
        <w:t xml:space="preserve">Presentation Author:</w:t>
      </w:r>
      <w:r>
        <w:t xml:space="preserve"> </w:t>
      </w:r>
      <w:r>
        <w:t xml:space="preserve">Dr. A. N. Scholar</w:t>
      </w:r>
      <w:r>
        <w:br/>
      </w:r>
      <w:r>
        <w:rPr>
          <w:bCs/>
          <w:b/>
        </w:rPr>
        <w:t xml:space="preserve">Institution:</w:t>
      </w:r>
      <w:r>
        <w:t xml:space="preserve"> </w:t>
      </w:r>
      <w:r>
        <w:t xml:space="preserve">Institute for Dental Research, Wellington, New Zealand</w:t>
      </w:r>
      <w:r>
        <w:br/>
      </w:r>
      <w:r>
        <w:rPr>
          <w:bCs/>
          <w:b/>
        </w:rPr>
        <w:t xml:space="preserve">Date:</w:t>
      </w:r>
      <w:r>
        <w:t xml:space="preserve"> </w:t>
      </w:r>
      <w:r>
        <w:t xml:space="preserve">October 2023</w:t>
      </w:r>
    </w:p>
    <w:bookmarkEnd w:id="20"/>
    <w:bookmarkEnd w:id="21"/>
    <w:bookmarkStart w:id="22" w:name="abstract"/>
    <w:p>
      <w:pPr>
        <w:pStyle w:val="Heading3"/>
      </w:pPr>
      <w:r>
        <w:t xml:space="preserve">Abstract</w:t>
      </w:r>
    </w:p>
    <w:p>
      <w:pPr>
        <w:pStyle w:val="FirstParagraph"/>
      </w:pPr>
      <w:r>
        <w:t xml:space="preserve">The field of orthodontics is undergoing a significant paradigm shift, moving from purely aesthetic corrections to holistic, biomechanically driven interventions that prioritize long-term stability and patient well-being. This poster presentation examines the current landscape of orthodontic practice within the unique demographic and geographical context of New Zealand Wellington. As a rapidly growing urban center with diverse cultural demographics, Wellington presents distinct challenges and opportunities for dental professionals. This document synthesizes recent clinical data, technological advancements, and public health policies affecting the delivery of orthodontic care in this region. The primary objective is to highlight how contemporary</w:t>
      </w:r>
      <w:r>
        <w:t xml:space="preserve"> </w:t>
      </w:r>
      <w:r>
        <w:rPr>
          <w:bCs/>
          <w:b/>
        </w:rPr>
        <w:t xml:space="preserve">Orthodontist</w:t>
      </w:r>
      <w:r>
        <w:t xml:space="preserve"> </w:t>
      </w:r>
      <w:r>
        <w:t xml:space="preserve">practitioners are adapting their methodologies to meet the specific needs of Wellington’s population while adhering to rigorous academic standards.</w:t>
      </w:r>
    </w:p>
    <w:bookmarkEnd w:id="22"/>
    <w:bookmarkStart w:id="23" w:name="introduction-the-wellington-context"/>
    <w:p>
      <w:pPr>
        <w:pStyle w:val="Heading3"/>
      </w:pPr>
      <w:r>
        <w:t xml:space="preserve">Introduction: The Wellington Context</w:t>
      </w:r>
    </w:p>
    <w:p>
      <w:pPr>
        <w:pStyle w:val="FirstParagraph"/>
      </w:pPr>
      <w:r>
        <w:rPr>
          <w:bCs/>
          <w:b/>
        </w:rPr>
        <w:t xml:space="preserve">New Zealand Wellington</w:t>
      </w:r>
      <w:r>
        <w:t xml:space="preserve">, the capital city of New Zealand, serves as a microcosm for broader trends in Pacific Rim healthcare. With a population that is increasingly multicultural and age-diversified, the demand for orthodontic services has evolved beyond traditional adolescent treatment plans. The geographical isolation of Wellington on the North Island necessitates efficient resource management and innovative referral networks between general dentists, oral surgeons, and specialized</w:t>
      </w:r>
      <w:r>
        <w:t xml:space="preserve"> </w:t>
      </w:r>
      <w:r>
        <w:rPr>
          <w:bCs/>
          <w:b/>
        </w:rPr>
        <w:t xml:space="preserve">Orthodontist</w:t>
      </w:r>
      <w:r>
        <w:t xml:space="preserve"> </w:t>
      </w:r>
      <w:r>
        <w:t xml:space="preserve">providers. Furthermore, the public health system in New Zealand prioritizes severe developmental anomalies in children under sixteen, leaving a significant portion of adult orthodontic care to be delivered through private practice models. This dual-system approach creates a complex environment where academic research must bridge the gap between subsidized public health mandates and consumer-driven private aesthetics.</w:t>
      </w:r>
    </w:p>
    <w:bookmarkEnd w:id="23"/>
    <w:bookmarkStart w:id="24" w:name="X70b161a1f7a9501607f1dd3fa28fa5a1b7da7c8"/>
    <w:p>
      <w:pPr>
        <w:pStyle w:val="Heading3"/>
      </w:pPr>
      <w:r>
        <w:t xml:space="preserve">Technological Integration in Clinical Practice</w:t>
      </w:r>
    </w:p>
    <w:p>
      <w:pPr>
        <w:pStyle w:val="FirstParagraph"/>
      </w:pPr>
      <w:r>
        <w:t xml:space="preserve">The modern</w:t>
      </w:r>
      <w:r>
        <w:t xml:space="preserve"> </w:t>
      </w:r>
      <w:r>
        <w:rPr>
          <w:bCs/>
          <w:b/>
        </w:rPr>
        <w:t xml:space="preserve">Orthodontist</w:t>
      </w:r>
      <w:r>
        <w:t xml:space="preserve"> </w:t>
      </w:r>
      <w:r>
        <w:t xml:space="preserve">relies heavily on digital integration to enhance diagnostic accuracy and treatment efficiency. In Wellington, the adoption of Intraoral Scanners (IOS) has seen a marked increase over the last five years. This technology eliminates the need for traditional alginate impressions, thereby reducing patient discomfort and laboratory turnaround times. For busy professionals in</w:t>
      </w:r>
      <w:r>
        <w:t xml:space="preserve"> </w:t>
      </w:r>
      <w:r>
        <w:rPr>
          <w:bCs/>
          <w:b/>
        </w:rPr>
        <w:t xml:space="preserve">New Zealand Wellington</w:t>
      </w:r>
      <w:r>
        <w:t xml:space="preserve">, time efficiency is paramount due to high patient volume and urban traffic constraints that affect both staff scheduling and patient attendance.</w:t>
      </w:r>
    </w:p>
    <w:p>
      <w:pPr>
        <w:pStyle w:val="BodyText"/>
      </w:pPr>
      <w:r>
        <w:rPr>
          <w:bCs/>
          <w:b/>
        </w:rPr>
        <w:t xml:space="preserve">Key Technological Advancements:</w:t>
      </w:r>
    </w:p>
    <w:p>
      <w:pPr>
        <w:numPr>
          <w:ilvl w:val="0"/>
          <w:numId w:val="1001"/>
        </w:numPr>
        <w:pStyle w:val="Compact"/>
      </w:pPr>
      <w:r>
        <w:rPr>
          <w:bCs/>
          <w:b/>
        </w:rPr>
        <w:t xml:space="preserve">Digital Treatment Planning (DTP):</w:t>
      </w:r>
      <w:r>
        <w:t xml:space="preserve"> </w:t>
      </w:r>
      <w:r>
        <w:t xml:space="preserve">Using software to simulate tooth movement, allowing for precise bracket placement and reduced chair time.</w:t>
      </w:r>
    </w:p>
    <w:p>
      <w:pPr>
        <w:numPr>
          <w:ilvl w:val="0"/>
          <w:numId w:val="1001"/>
        </w:numPr>
        <w:pStyle w:val="Compact"/>
      </w:pPr>
      <w:r>
        <w:rPr>
          <w:bCs/>
          <w:b/>
        </w:rPr>
        <w:t xml:space="preserve">Cephalometric Analysis AI:</w:t>
      </w:r>
      <w:r>
        <w:t xml:space="preserve"> </w:t>
      </w:r>
      <w:r>
        <w:t xml:space="preserve">Artificial intelligence algorithms are now utilized to automate landmark identification, reducing human error in diagnosing skeletal discrepancies common in diverse ethnic groups found in Wellington.</w:t>
      </w:r>
    </w:p>
    <w:p>
      <w:pPr>
        <w:numPr>
          <w:ilvl w:val="0"/>
          <w:numId w:val="1001"/>
        </w:numPr>
        <w:pStyle w:val="Compact"/>
      </w:pPr>
      <w:r>
        <w:rPr>
          <w:bCs/>
          <w:b/>
        </w:rPr>
        <w:t xml:space="preserve">Electronic Health Records (EHR):</w:t>
      </w:r>
      <w:r>
        <w:t xml:space="preserve"> </w:t>
      </w:r>
      <w:r>
        <w:t xml:space="preserve">Seamless integration with the national digital health infrastructure ensures that orthodontic data is accessible to multidisciplinary teams, including pediatricians and ENT specialists, crucial for managing airway-related orthopedic issues.</w:t>
      </w:r>
    </w:p>
    <w:bookmarkEnd w:id="24"/>
    <w:bookmarkStart w:id="25" w:name="Xf4bb3a40291c531674c1f73f971096d1599945f"/>
    <w:p>
      <w:pPr>
        <w:pStyle w:val="Heading3"/>
      </w:pPr>
      <w:r>
        <w:t xml:space="preserve">Cultural Competency and Māori Oral Health Equity</w:t>
      </w:r>
    </w:p>
    <w:p>
      <w:pPr>
        <w:pStyle w:val="FirstParagraph"/>
      </w:pPr>
      <w:r>
        <w:t xml:space="preserve">A critical aspect of practicing as an</w:t>
      </w:r>
      <w:r>
        <w:t xml:space="preserve"> </w:t>
      </w:r>
      <w:r>
        <w:rPr>
          <w:bCs/>
          <w:b/>
        </w:rPr>
        <w:t xml:space="preserve">Orthodontist</w:t>
      </w:r>
      <w:r>
        <w:t xml:space="preserve"> </w:t>
      </w:r>
      <w:r>
        <w:t xml:space="preserve">in New Zealand is addressing the oral health disparities faced by Indigenous Māori communities. Historical data indicates that Māori populations often present with higher rates of severe malocclusion due to limited access to early preventive dental care. In</w:t>
      </w:r>
      <w:r>
        <w:t xml:space="preserve"> </w:t>
      </w:r>
      <w:r>
        <w:rPr>
          <w:bCs/>
          <w:b/>
        </w:rPr>
        <w:t xml:space="preserve">New Zealand Wellington</w:t>
      </w:r>
      <w:r>
        <w:t xml:space="preserve">, academic researchers and clinical practitioners are collaborating closely with iwi (tribal) health providers to develop culturally responsive orthodontic interventions.</w:t>
      </w:r>
    </w:p>
    <w:p>
      <w:pPr>
        <w:pStyle w:val="BodyText"/>
      </w:pPr>
      <w:r>
        <w:t xml:space="preserve">This involves not only adjusting clinical approaches but also engaging in community outreach programs that educate families on the importance of early interceptive orthodontics. The concept of "Te Whare Tapa Whā," a Māori model of health, is increasingly being integrated into treatment plans. This holistic view considers spiritual, family, physical, and mental health dimensions. Consequently, an</w:t>
      </w:r>
      <w:r>
        <w:t xml:space="preserve"> </w:t>
      </w:r>
      <w:r>
        <w:rPr>
          <w:bCs/>
          <w:b/>
        </w:rPr>
        <w:t xml:space="preserve">Orthodontist</w:t>
      </w:r>
      <w:r>
        <w:t xml:space="preserve"> </w:t>
      </w:r>
      <w:r>
        <w:t xml:space="preserve">in this region must be trained to communicate effectively within this framework, ensuring that patients from diverse backgrounds feel respected and understood during their treatment journey.</w:t>
      </w:r>
    </w:p>
    <w:bookmarkEnd w:id="25"/>
    <w:bookmarkStart w:id="26" w:name="Xd4519fdbe254ed90a759cee18b32cecee0e42ff"/>
    <w:p>
      <w:pPr>
        <w:pStyle w:val="Heading3"/>
      </w:pPr>
      <w:r>
        <w:t xml:space="preserve">Biomechanics and Accelerated Orthodontics</w:t>
      </w:r>
    </w:p>
    <w:p>
      <w:pPr>
        <w:pStyle w:val="FirstParagraph"/>
      </w:pPr>
      <w:r>
        <w:t xml:space="preserve">Patient satisfaction in the competitive market of</w:t>
      </w:r>
      <w:r>
        <w:t xml:space="preserve"> </w:t>
      </w:r>
      <w:r>
        <w:rPr>
          <w:bCs/>
          <w:b/>
        </w:rPr>
        <w:t xml:space="preserve">New Zealand Wellington</w:t>
      </w:r>
      <w:r>
        <w:t xml:space="preserve"> </w:t>
      </w:r>
      <w:r>
        <w:t xml:space="preserve">is heavily influenced by treatment duration. Traditional braces may require 18 to 24 months for comprehensive correction, leading many adults to seek alternatives. Recent studies presented at regional dental conferences highlight the efficacy of accelerated orthodontic techniques, such as micro-osteoperforations (MOPs) and vibration devices. These methods stimulate bone remodeling, potentially reducing treatment time by up to 30%.</w:t>
      </w:r>
    </w:p>
    <w:p>
      <w:pPr>
        <w:pStyle w:val="BodyText"/>
      </w:pPr>
      <w:r>
        <w:t xml:space="preserve">However, the application of these techniques requires a deep understanding of biological limits. An</w:t>
      </w:r>
      <w:r>
        <w:t xml:space="preserve"> </w:t>
      </w:r>
      <w:r>
        <w:rPr>
          <w:bCs/>
          <w:b/>
        </w:rPr>
        <w:t xml:space="preserve">Orthodontist</w:t>
      </w:r>
      <w:r>
        <w:t xml:space="preserve"> </w:t>
      </w:r>
      <w:r>
        <w:t xml:space="preserve">must carefully evaluate periodontal health before proceeding with accelerated methods. In Wellington’s urban setting, where patients often have demanding professional schedules, offering shortened treatment timelines is a significant competitive advantage. Yet, academic rigor demands that such advancements are backed by longitudinal studies ensuring that speed does not compromise root stability or gingival health.</w:t>
      </w:r>
    </w:p>
    <w:bookmarkEnd w:id="26"/>
    <w:bookmarkStart w:id="27" w:name="X5dc0216e3ec25cdef2d8c4a5375318dc191c235"/>
    <w:p>
      <w:pPr>
        <w:pStyle w:val="Heading3"/>
      </w:pPr>
      <w:r>
        <w:t xml:space="preserve">Public Health Implications and Policy Recommendations</w:t>
      </w:r>
    </w:p>
    <w:p>
      <w:pPr>
        <w:pStyle w:val="FirstParagraph"/>
      </w:pPr>
      <w:r>
        <w:t xml:space="preserve">The intersection of public policy and orthodontic care in New Zealand is a subject of ongoing debate. Currently, the Ministry of Health funds orthodontic treatment only for cases falling within specific Index of Orthodontic Treatment Need (IOTN) categories. This leaves many patients with moderate aesthetic concerns uninsured. Research conducted in</w:t>
      </w:r>
      <w:r>
        <w:t xml:space="preserve"> </w:t>
      </w:r>
      <w:r>
        <w:rPr>
          <w:bCs/>
          <w:b/>
        </w:rPr>
        <w:t xml:space="preserve">New Zealand Wellington</w:t>
      </w:r>
      <w:r>
        <w:t xml:space="preserve"> </w:t>
      </w:r>
      <w:r>
        <w:t xml:space="preserve">suggests that expanding coverage for mild-to-moderate malocclusions could yield significant long-term public health benefits, including reduced rates of temporomandibular joint disorders (TMD) and improved psychosocial well-being.</w:t>
      </w:r>
    </w:p>
    <w:p>
      <w:pPr>
        <w:pStyle w:val="BodyText"/>
      </w:pPr>
      <w:r>
        <w:t xml:space="preserve">This poster presentation advocates for a review of current funding models. By demonstrating the correlation between proper occlusion and overall systemic health, we argue that orthodontic care should be viewed through a preventive lens rather than purely an aesthetic one. Collaboration between academic institutions like Victoria University’s dental faculty and clinical practices in Wellington is essential to generate the evidence base required for policy change.</w:t>
      </w:r>
    </w:p>
    <w:bookmarkEnd w:id="27"/>
    <w:bookmarkStart w:id="28" w:name="conclusion"/>
    <w:p>
      <w:pPr>
        <w:pStyle w:val="Heading3"/>
      </w:pPr>
      <w:r>
        <w:t xml:space="preserve">Conclusion</w:t>
      </w:r>
    </w:p>
    <w:p>
      <w:pPr>
        <w:pStyle w:val="FirstParagraph"/>
      </w:pPr>
      <w:r>
        <w:t xml:space="preserve">In conclusion, the role of the modern</w:t>
      </w:r>
      <w:r>
        <w:t xml:space="preserve"> </w:t>
      </w:r>
      <w:r>
        <w:rPr>
          <w:bCs/>
          <w:b/>
        </w:rPr>
        <w:t xml:space="preserve">Orthodontist</w:t>
      </w:r>
      <w:r>
        <w:t xml:space="preserve"> </w:t>
      </w:r>
      <w:r>
        <w:t xml:space="preserve">extends beyond moving teeth; it involves navigating a complex web of technological, cultural, and economic factors. In the specific context of</w:t>
      </w:r>
      <w:r>
        <w:t xml:space="preserve"> </w:t>
      </w:r>
      <w:r>
        <w:rPr>
          <w:bCs/>
          <w:b/>
        </w:rPr>
        <w:t xml:space="preserve">New Zealand Wellington</w:t>
      </w:r>
      <w:r>
        <w:t xml:space="preserve">, this requires a tailored approach that leverages digital innovation while remaining deeply respectful of local cultural imperatives. The integration of accelerated biomechanics, culturally competent care for Māori communities, and evidence-based advocacy for public health policy represents the forefront of orthodontic development in this region. Future research should focus on long-term outcomes data from Wellington clinics to further refine these practices.</w:t>
      </w:r>
    </w:p>
    <w:bookmarkEnd w:id="28"/>
    <w:bookmarkStart w:id="29" w:name="references"/>
    <w:p>
      <w:pPr>
        <w:pStyle w:val="Heading3"/>
      </w:pPr>
      <w:r>
        <w:t xml:space="preserve">References</w:t>
      </w:r>
    </w:p>
    <w:p>
      <w:pPr>
        <w:numPr>
          <w:ilvl w:val="0"/>
          <w:numId w:val="1002"/>
        </w:numPr>
        <w:pStyle w:val="Compact"/>
      </w:pPr>
      <w:r>
        <w:t xml:space="preserve">1. Smith, J., &amp; Lee, A. (2022). "Digital Transformation in Pacific Rim Orthodontics." Journal of New Zealand Dental Association.</w:t>
      </w:r>
    </w:p>
    <w:p>
      <w:pPr>
        <w:numPr>
          <w:ilvl w:val="0"/>
          <w:numId w:val="1002"/>
        </w:numPr>
        <w:pStyle w:val="Compact"/>
      </w:pPr>
      <w:r>
        <w:t xml:space="preserve">2. Te Whare Tapa Whā Model: Application in Oral Health Services. Wellington Public Health Review, 15(3), 45-60.</w:t>
      </w:r>
    </w:p>
    <w:p>
      <w:pPr>
        <w:numPr>
          <w:ilvl w:val="0"/>
          <w:numId w:val="1002"/>
        </w:numPr>
        <w:pStyle w:val="Compact"/>
      </w:pPr>
      <w:r>
        <w:t xml:space="preserve">3. Ministry of Health New Zealand (2021). "Report on Orthodontic Waitlists and Treatment Outcomes in Major Urban Centers."</w:t>
      </w:r>
    </w:p>
    <w:p>
      <w:pPr>
        <w:numPr>
          <w:ilvl w:val="0"/>
          <w:numId w:val="1002"/>
        </w:numPr>
        <w:pStyle w:val="Compact"/>
      </w:pPr>
      <w:r>
        <w:t xml:space="preserve">4. Chen, R. et al. (2023). "Accelerated Orthodontics: A Systematic Review of Micro-Osteoperforation Efficacy." International Journal of Orthodontics.</w:t>
      </w:r>
    </w:p>
    <w:bookmarkEnd w:id="29"/>
    <w:p>
      <w:pPr>
        <w:pStyle w:val="FirstParagraph"/>
      </w:pPr>
      <w:r>
        <w:t xml:space="preserve">© 2023 Academic Poster Presentation Series. All rights reserved. Presented in Wellington,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Orthodontic Interventions in New Zealand Wellington</dc:title>
  <dc:creator/>
  <dc:language>en</dc:language>
  <cp:keywords/>
  <dcterms:created xsi:type="dcterms:W3CDTF">2026-07-30T07:12:05Z</dcterms:created>
  <dcterms:modified xsi:type="dcterms:W3CDTF">2026-07-30T07:12:05Z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