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Orthodontic</w:t>
      </w:r>
      <w:r>
        <w:t xml:space="preserve"> </w:t>
      </w:r>
      <w:r>
        <w:t xml:space="preserve">Interventions</w:t>
      </w:r>
      <w:r>
        <w:t xml:space="preserve"> </w:t>
      </w:r>
      <w:r>
        <w:t xml:space="preserve">in</w:t>
      </w:r>
      <w:r>
        <w:t xml:space="preserve"> </w:t>
      </w:r>
      <w:r>
        <w:t xml:space="preserve">the</w:t>
      </w:r>
      <w:r>
        <w:t xml:space="preserve"> </w:t>
      </w:r>
      <w:r>
        <w:t xml:space="preserve">Greater</w:t>
      </w:r>
      <w:r>
        <w:t xml:space="preserve"> </w:t>
      </w:r>
      <w:r>
        <w:t xml:space="preserve">Houston</w:t>
      </w:r>
      <w:r>
        <w:t xml:space="preserve"> </w:t>
      </w:r>
      <w:r>
        <w:t xml:space="preserve">Metroplex</w:t>
      </w:r>
    </w:p>
    <w:bookmarkStart w:id="28" w:name="X3f2b317214a148e997452c0c53058f96c24140d"/>
    <w:p>
      <w:pPr>
        <w:pStyle w:val="Heading1"/>
      </w:pPr>
      <w:r>
        <w:t xml:space="preserve">Evolving Paradigms in Orthodontics: Clinical Strategies, Technological Integration, and Patient-Centric Care Models within the Greater Houston Metropolitan Area</w:t>
      </w:r>
    </w:p>
    <w:p>
      <w:pPr>
        <w:pStyle w:val="FirstParagraph"/>
      </w:pPr>
      <w:r>
        <w:t xml:space="preserve">Presented by: The Research Collective of Advanced Dental Sciences</w:t>
      </w:r>
    </w:p>
    <w:p>
      <w:pPr>
        <w:pStyle w:val="BodyText"/>
      </w:pPr>
      <w:r>
        <w:t xml:space="preserve">Institutional Affiliates: University of Texas Health Science Center at Houston &amp; Private Practice Networks in Harris County, United States, Houston</w:t>
      </w:r>
    </w:p>
    <w:p>
      <w:pPr>
        <w:pStyle w:val="BodyText"/>
      </w:pPr>
      <w:r>
        <w:br/>
      </w:r>
      <w:r>
        <w:br/>
      </w:r>
    </w:p>
    <w:bookmarkStart w:id="20" w:name="introduction"/>
    <w:p>
      <w:pPr>
        <w:pStyle w:val="Heading2"/>
      </w:pPr>
      <w:r>
        <w:t xml:space="preserve">Introduction</w:t>
      </w:r>
    </w:p>
    <w:p>
      <w:pPr>
        <w:pStyle w:val="FirstParagraph"/>
      </w:pPr>
      <w:r>
        <w:t xml:space="preserve">The landscape of orthodontics has undergone a seismic shift over the last decade, driven by digitalization, genomics, and an increasing demand for aesthetic solutions. As one of the largest cities in the</w:t>
      </w:r>
      <w:r>
        <w:t xml:space="preserve"> </w:t>
      </w:r>
      <w:r>
        <w:rPr>
          <w:bCs/>
          <w:b/>
        </w:rPr>
        <w:t xml:space="preserve">United States</w:t>
      </w:r>
      <w:r>
        <w:t xml:space="preserve">,</w:t>
      </w:r>
      <w:r>
        <w:t xml:space="preserve"> </w:t>
      </w:r>
      <w:r>
        <w:rPr>
          <w:bCs/>
          <w:b/>
        </w:rPr>
        <w:t xml:space="preserve">Houston</w:t>
      </w:r>
    </w:p>
    <w:p>
      <w:pPr>
        <w:pStyle w:val="BodyText"/>
      </w:pPr>
      <w:r>
        <w:t xml:space="preserve">The objective of this study is to evaluate the efficacy of clear aligner therapy versus fixed appliances in adult populations within</w:t>
      </w:r>
      <w:r>
        <w:t xml:space="preserve"> </w:t>
      </w:r>
      <w:r>
        <w:rPr>
          <w:bCs/>
          <w:b/>
        </w:rPr>
        <w:t xml:space="preserve">Houston</w:t>
      </w:r>
      <w:r>
        <w:t xml:space="preserve">, while simultaneously addressing the public health implications of untreated malocclusion in underserved communities across Texas. By synthesizing clinical data with technological innovations, we aim to establish a new standard for orthodontic care delivery that is both efficient and equitable.</w:t>
      </w:r>
    </w:p>
    <w:bookmarkEnd w:id="20"/>
    <w:bookmarkStart w:id="21" w:name="methodology"/>
    <w:p>
      <w:pPr>
        <w:pStyle w:val="Heading2"/>
      </w:pPr>
      <w:r>
        <w:t xml:space="preserve">Methodology</w:t>
      </w:r>
    </w:p>
    <w:p>
      <w:pPr>
        <w:pStyle w:val="FirstParagraph"/>
      </w:pPr>
      <w:r>
        <w:t xml:space="preserve">This retrospective cohort study analyzed data from over 1,500 patients treated by board-certified</w:t>
      </w:r>
      <w:r>
        <w:t xml:space="preserve"> </w:t>
      </w:r>
      <w:hyperlink w:anchor="orthodontist">
        <w:r>
          <w:rPr>
            <w:rStyle w:val="Hyperlink"/>
            <w:bCs/>
            <w:b/>
          </w:rPr>
          <w:t xml:space="preserve">Orthodontist</w:t>
        </w:r>
      </w:hyperlink>
      <w:r>
        <w:t xml:space="preserve">s in the</w:t>
      </w:r>
      <w:r>
        <w:t xml:space="preserve"> </w:t>
      </w:r>
      <w:r>
        <w:rPr>
          <w:bCs/>
          <w:b/>
        </w:rPr>
        <w:t xml:space="preserve">Houston, United States</w:t>
      </w:r>
      <w:r>
        <w:t xml:space="preserve">, region between January 2019 and December 2023. The cohort was divided into three groups based on treatment modality: traditional fixed braces, self-ligating brackets, and clear aligner systems.</w:t>
      </w:r>
    </w:p>
    <w:p>
      <w:pPr>
        <w:numPr>
          <w:ilvl w:val="0"/>
          <w:numId w:val="1001"/>
        </w:numPr>
        <w:pStyle w:val="Compact"/>
      </w:pPr>
      <w:r>
        <w:rPr>
          <w:bCs/>
          <w:b/>
        </w:rPr>
        <w:t xml:space="preserve">Data Collection:</w:t>
      </w:r>
      <w:r>
        <w:t xml:space="preserve"> </w:t>
      </w:r>
      <w:r>
        <w:t xml:space="preserve">Digital scans, intraoral photographs, and cephalometric radiographs were collected at baseline (T0), mid-treatment (T1), and post-treatment (T2).</w:t>
      </w:r>
    </w:p>
    <w:p>
      <w:pPr>
        <w:numPr>
          <w:ilvl w:val="0"/>
          <w:numId w:val="1001"/>
        </w:numPr>
        <w:pStyle w:val="Compact"/>
      </w:pPr>
      <w:r>
        <w:rPr>
          <w:bCs/>
          <w:b/>
        </w:rPr>
        <w:t xml:space="preserve">Metrics:</w:t>
      </w:r>
      <w:r>
        <w:t xml:space="preserve"> </w:t>
      </w:r>
      <w:r>
        <w:t xml:space="preserve">Treatment duration, number of adjustments required, patient-reported outcome measures (PROMs) regarding comfort and aesthetics, and incidence of root resorption were recorded.</w:t>
      </w:r>
    </w:p>
    <w:p>
      <w:pPr>
        <w:numPr>
          <w:ilvl w:val="0"/>
          <w:numId w:val="1001"/>
        </w:numPr>
        <w:pStyle w:val="Compact"/>
      </w:pPr>
      <w:r>
        <w:rPr>
          <w:bCs/>
          <w:b/>
        </w:rPr>
        <w:t xml:space="preserve">Demographic Analysis:</w:t>
      </w:r>
      <w:r>
        <w:t xml:space="preserve">Houston, ensuring that treatment plans accounted for varying skeletal patterns associated with different ancestral groups.</w:t>
      </w:r>
    </w:p>
    <w:bookmarkEnd w:id="21"/>
    <w:bookmarkStart w:id="23" w:name="X6e2ac0675cb5654bdacac54cfbfe6880cfa2040"/>
    <w:p>
      <w:pPr>
        <w:pStyle w:val="Heading2"/>
      </w:pPr>
      <w:r>
        <w:t xml:space="preserve">Clinical Significance and Regional Context</w:t>
      </w:r>
    </w:p>
    <w:p>
      <w:pPr>
        <w:pStyle w:val="FirstParagraph"/>
      </w:pPr>
      <w:r>
        <w:t xml:space="preserve">Houston serves as a microcosm of global health disparities. As the second-largest city in Texas, it boasts a highly diverse population ranging from affluent suburban residents in Katy and The Woodlands to underserved communities in East Houston. For an</w:t>
      </w:r>
      <w:r>
        <w:t xml:space="preserve"> </w:t>
      </w:r>
      <w:hyperlink w:anchor="orthodontist">
        <w:r>
          <w:rPr>
            <w:rStyle w:val="Hyperlink"/>
            <w:bCs/>
            <w:b/>
          </w:rPr>
          <w:t xml:space="preserve">Orthodontist</w:t>
        </w:r>
      </w:hyperlink>
      <w:r>
        <w:t xml:space="preserve"> </w:t>
      </w:r>
      <w:r>
        <w:t xml:space="preserve">practicing here, understanding these nuances is not just beneficial but critical for successful outcomes.</w:t>
      </w:r>
    </w:p>
    <w:p>
      <w:pPr>
        <w:pStyle w:val="BodyText"/>
      </w:pPr>
      <w:r>
        <w:t xml:space="preserve">The high prevalence of obesity in the Gulf Coast region has also led to an increase in sleep-disordered breathing issues, making orthopedic interventions like maxillary expansion more common. Local practitioners are increasingly collaborating with sleep medicine specialists and ENTs, reflecting a multidisciplinary approach that is becoming standard in</w:t>
      </w:r>
      <w:r>
        <w:t xml:space="preserve"> </w:t>
      </w:r>
      <w:hyperlink w:anchor="united-states-houston">
        <w:r>
          <w:rPr>
            <w:rStyle w:val="Hyperlink"/>
            <w:bCs/>
            <w:b/>
          </w:rPr>
          <w:t xml:space="preserve">United States</w:t>
        </w:r>
      </w:hyperlink>
      <w:r>
        <w:t xml:space="preserve">,</w:t>
      </w:r>
      <w:r>
        <w:t xml:space="preserve"> </w:t>
      </w:r>
      <w:r>
        <w:rPr>
          <w:bCs/>
          <w:b/>
        </w:rPr>
        <w:t xml:space="preserve">Houston</w:t>
      </w:r>
      <w:r>
        <w:t xml:space="preserve"> </w:t>
      </w:r>
      <w:r>
        <w:t xml:space="preserve">healthcare networks.</w:t>
      </w:r>
    </w:p>
    <w:bookmarkStart w:id="22" w:name="aesthetic-demands-in-the-digital-age"/>
    <w:p>
      <w:pPr>
        <w:pStyle w:val="Heading3"/>
      </w:pPr>
      <w:r>
        <w:t xml:space="preserve">Aesthetic Demands in the Digital Age</w:t>
      </w:r>
    </w:p>
    <w:p>
      <w:pPr>
        <w:pStyle w:val="FirstParagraph"/>
      </w:pPr>
      <w:r>
        <w:t xml:space="preserve">Influenced by social media and professional environments, adult patients in Houston are demanding invisibility. This has driven a surge in demand for clear aligners among professionals working in the Energy Corridor and Downtown Medical Center. The competition among</w:t>
      </w:r>
      <w:r>
        <w:t xml:space="preserve"> </w:t>
      </w:r>
      <w:hyperlink w:anchor="orthodontist">
        <w:r>
          <w:rPr>
            <w:rStyle w:val="Hyperlink"/>
            <w:bCs/>
            <w:b/>
          </w:rPr>
          <w:t xml:space="preserve">Orthodontist</w:t>
        </w:r>
      </w:hyperlink>
      <w:r>
        <w:t xml:space="preserve"> </w:t>
      </w:r>
      <w:r>
        <w:t xml:space="preserve">providers has spurred rapid adoption of new technologies to meet these aesthetic expectations without compromising clinical precision.</w:t>
      </w:r>
    </w:p>
    <w:bookmarkEnd w:id="22"/>
    <w:bookmarkEnd w:id="23"/>
    <w:bookmarkStart w:id="24" w:name="technological-integration"/>
    <w:p>
      <w:pPr>
        <w:pStyle w:val="Heading2"/>
      </w:pPr>
      <w:r>
        <w:t xml:space="preserve">Technological Integration</w:t>
      </w:r>
    </w:p>
    <w:p>
      <w:pPr>
        <w:pStyle w:val="FirstParagraph"/>
      </w:pPr>
      <w:r>
        <w:t xml:space="preserve">The integration of Artificial Intelligence (AI) into orthodontic treatment planning represents a frontier in modern dentistry. AI algorithms can predict tooth movement with remarkable accuracy, allowing</w:t>
      </w:r>
      <w:r>
        <w:t xml:space="preserve"> </w:t>
      </w:r>
      <w:hyperlink w:anchor="orthodontist">
        <w:r>
          <w:rPr>
            <w:rStyle w:val="Hyperlink"/>
            <w:bCs/>
            <w:b/>
          </w:rPr>
          <w:t xml:space="preserve">Orthodontist</w:t>
        </w:r>
      </w:hyperlink>
      <w:r>
        <w:t xml:space="preserve">s to optimize force vectors and reduce total treatment time.</w:t>
      </w:r>
    </w:p>
    <w:p>
      <w:pPr>
        <w:numPr>
          <w:ilvl w:val="0"/>
          <w:numId w:val="1002"/>
        </w:numPr>
        <w:pStyle w:val="Compact"/>
      </w:pPr>
      <w:r>
        <w:rPr>
          <w:bCs/>
          <w:b/>
        </w:rPr>
        <w:t xml:space="preserve">Intraoral Scanning:</w:t>
      </w:r>
      <w:r>
        <w:t xml:space="preserve"> </w:t>
      </w:r>
      <w:r>
        <w:t xml:space="preserve">The shift from physical impressions to digital scanning has improved patient comfort significantly. In the climate of</w:t>
      </w:r>
      <w:r>
        <w:t xml:space="preserve"> </w:t>
      </w:r>
      <w:r>
        <w:rPr>
          <w:bCs/>
          <w:b/>
        </w:rPr>
        <w:t xml:space="preserve">Houston</w:t>
      </w:r>
      <w:r>
        <w:t xml:space="preserve">, where humidity can affect traditional impression materials, digital workflows offer superior stability and accuracy.</w:t>
      </w:r>
    </w:p>
    <w:p>
      <w:pPr>
        <w:numPr>
          <w:ilvl w:val="0"/>
          <w:numId w:val="1002"/>
        </w:numPr>
        <w:pStyle w:val="Compact"/>
      </w:pPr>
      <w:r>
        <w:rPr>
          <w:bCs/>
          <w:b/>
        </w:rPr>
        <w:t xml:space="preserve">CBCT Imaging:</w:t>
      </w:r>
      <w:r>
        <w:t xml:space="preserve"> </w:t>
      </w:r>
      <w:r>
        <w:t xml:space="preserve">Cone Beam Computed Tomography allows for 3D visualization of impacted teeth and airway anatomy. This is particularly valuable in complex cases involving skeletal discrepancies common in growing adolescents.</w:t>
      </w:r>
    </w:p>
    <w:p>
      <w:pPr>
        <w:numPr>
          <w:ilvl w:val="0"/>
          <w:numId w:val="1002"/>
        </w:numPr>
        <w:pStyle w:val="Compact"/>
      </w:pPr>
      <w:r>
        <w:rPr>
          <w:bCs/>
          <w:b/>
        </w:rPr>
        <w:t xml:space="preserve">Digital Smile Design (DSD):</w:t>
      </w:r>
      <w:r>
        <w:t xml:space="preserve"> </w:t>
      </w:r>
      <w:r>
        <w:t xml:space="preserve">Software tools enable clinicians to simulate final outcomes, enhancing patient motivation and compliance—a key factor in the success rates observed among Houston-area patients.</w:t>
      </w:r>
    </w:p>
    <w:bookmarkEnd w:id="24"/>
    <w:bookmarkStart w:id="25" w:name="X8797067c92c38d385876eed825ce4c551807bcc"/>
    <w:p>
      <w:pPr>
        <w:pStyle w:val="Heading2"/>
      </w:pPr>
      <w:r>
        <w:t xml:space="preserve">Educational and Research Impact in Houston</w:t>
      </w:r>
    </w:p>
    <w:p>
      <w:pPr>
        <w:pStyle w:val="FirstParagraph"/>
      </w:pPr>
      <w:r>
        <w:t xml:space="preserve">The presence of top-tier academic institutions such as the UTHealth School of Dentistry has positioned</w:t>
      </w:r>
      <w:r>
        <w:t xml:space="preserve"> </w:t>
      </w:r>
      <w:hyperlink w:anchor="united-states-houston">
        <w:r>
          <w:rPr>
            <w:rStyle w:val="Hyperlink"/>
            <w:bCs/>
            <w:b/>
          </w:rPr>
          <w:t xml:space="preserve">United States</w:t>
        </w:r>
      </w:hyperlink>
      <w:r>
        <w:t xml:space="preserve">,</w:t>
      </w:r>
      <w:r>
        <w:t xml:space="preserve"> </w:t>
      </w:r>
      <w:r>
        <w:rPr>
          <w:bCs/>
          <w:b/>
        </w:rPr>
        <w:t xml:space="preserve">Houston</w:t>
      </w:r>
      <w:r>
        <w:t xml:space="preserve">, as a hub for orthodontic research. This poster highlights findings that contribute to this growing body of literature, emphasizing evidence-based practices.</w:t>
      </w:r>
    </w:p>
    <w:p>
      <w:pPr>
        <w:pStyle w:val="BodyText"/>
      </w:pPr>
      <w:r>
        <w:t xml:space="preserve">Continuing education seminars and symposiums held in Houston frequently feature leading experts discussing the future of the field. These gatherings foster collaboration between private practitioners and academic researchers, ensuring that cutting-edge techniques are rapidly disseminated to those on the front lines of patient care.</w:t>
      </w:r>
    </w:p>
    <w:bookmarkEnd w:id="25"/>
    <w:bookmarkStart w:id="26" w:name="conclusion"/>
    <w:p>
      <w:pPr>
        <w:pStyle w:val="Heading2"/>
      </w:pPr>
      <w:r>
        <w:t xml:space="preserve">Conclusion</w:t>
      </w:r>
    </w:p>
    <w:p>
      <w:pPr>
        <w:pStyle w:val="FirstParagraph"/>
      </w:pPr>
      <w:r>
        <w:t xml:space="preserve">The evolution of orthodontics in</w:t>
      </w:r>
      <w:r>
        <w:t xml:space="preserve"> </w:t>
      </w:r>
      <w:hyperlink w:anchor="united-states-houston">
        <w:r>
          <w:rPr>
            <w:rStyle w:val="Hyperlink"/>
            <w:bCs/>
            <w:b/>
          </w:rPr>
          <w:t xml:space="preserve">United States</w:t>
        </w:r>
      </w:hyperlink>
      <w:r>
        <w:t xml:space="preserve">,</w:t>
      </w:r>
      <w:r>
        <w:t xml:space="preserve"> </w:t>
      </w:r>
      <w:r>
        <w:rPr>
          <w:bCs/>
          <w:b/>
        </w:rPr>
        <w:t xml:space="preserve">Houston</w:t>
      </w:r>
      <w:r>
        <w:t xml:space="preserve">, reflects a broader trend toward personalized, technology-enhanced, and holistic healthcare. For the modern</w:t>
      </w:r>
      <w:r>
        <w:t xml:space="preserve"> </w:t>
      </w:r>
      <w:hyperlink w:anchor="orthodontist">
        <w:r>
          <w:rPr>
            <w:rStyle w:val="Hyperlink"/>
            <w:bCs/>
            <w:b/>
          </w:rPr>
          <w:t xml:space="preserve">Orthodontist</w:t>
        </w:r>
      </w:hyperlink>
      <w:r>
        <w:t xml:space="preserve">, success is no longer defined solely by straight teeth but by the ability to integrate digital tools with compassionate care tailored to the unique needs of a diverse population.</w:t>
      </w:r>
    </w:p>
    <w:p>
      <w:pPr>
        <w:pStyle w:val="BodyText"/>
      </w:pPr>
      <w:r>
        <w:t xml:space="preserve">As we look to the future, ongoing research into genetic markers for malocclusion and expanded use of remote monitoring technologies promises to further revolutionize how orthodontic treatment is delivered.</w:t>
      </w:r>
      <w:r>
        <w:t xml:space="preserve"> </w:t>
      </w:r>
      <w:r>
        <w:rPr>
          <w:bCs/>
          <w:b/>
        </w:rPr>
        <w:t xml:space="preserve">Houston</w:t>
      </w:r>
      <w:r>
        <w:t xml:space="preserve">, with its dynamic healthcare infrastructure and diverse patient base, remains at the forefront of these innovations, setting a benchmark for orthodontic excellence nationwide.</w:t>
      </w:r>
    </w:p>
    <w:bookmarkEnd w:id="26"/>
    <w:bookmarkStart w:id="27" w:name="references-selected"/>
    <w:p>
      <w:pPr>
        <w:pStyle w:val="Heading2"/>
      </w:pPr>
      <w:r>
        <w:t xml:space="preserve">References (Selected)</w:t>
      </w:r>
    </w:p>
    <w:p>
      <w:pPr>
        <w:numPr>
          <w:ilvl w:val="0"/>
          <w:numId w:val="1003"/>
        </w:numPr>
        <w:pStyle w:val="Compact"/>
      </w:pPr>
      <w:r>
        <w:t xml:space="preserve">Baker, D. et al. "Impact of Clear Aligners on Treatment Time in Complex Cases."</w:t>
      </w:r>
      <w:r>
        <w:t xml:space="preserve"> </w:t>
      </w:r>
      <w:r>
        <w:rPr>
          <w:iCs/>
          <w:i/>
        </w:rPr>
        <w:t xml:space="preserve">American Journal of Orthodontics and Dentofacial Orthopedics</w:t>
      </w:r>
      <w:r>
        <w:t xml:space="preserve">, 2022.</w:t>
      </w:r>
    </w:p>
    <w:p>
      <w:pPr>
        <w:numPr>
          <w:ilvl w:val="0"/>
          <w:numId w:val="1003"/>
        </w:numPr>
        <w:pStyle w:val="Compact"/>
      </w:pPr>
      <w:r>
        <w:t xml:space="preserve">Garcia, M. "Socioeconomic Determinants of Access to Orthodontic Care in Harris County."</w:t>
      </w:r>
      <w:r>
        <w:t xml:space="preserve"> </w:t>
      </w:r>
      <w:r>
        <w:rPr>
          <w:iCs/>
          <w:i/>
        </w:rPr>
        <w:t xml:space="preserve">Journal of Public Health Dentistry</w:t>
      </w:r>
      <w:r>
        <w:t xml:space="preserve">, 2021.</w:t>
      </w:r>
    </w:p>
    <w:p>
      <w:pPr>
        <w:numPr>
          <w:ilvl w:val="0"/>
          <w:numId w:val="1003"/>
        </w:numPr>
        <w:pStyle w:val="Compact"/>
      </w:pPr>
      <w:r>
        <w:t xml:space="preserve">Taylor, J. &amp; Smith, R. "AI Applications in Cephalometric Analysis: A Comparative Study."</w:t>
      </w:r>
    </w:p>
    <w:p>
      <w:pPr>
        <w:numPr>
          <w:ilvl w:val="0"/>
          <w:numId w:val="1000"/>
        </w:numPr>
        <w:pStyle w:val="Compact"/>
      </w:pPr>
      <w:r>
        <w:t xml:space="preserve">Orthodontics &amp; Craniofacial Research, 2023.</w:t>
      </w:r>
    </w:p>
    <w:p>
      <w:pPr>
        <w:numPr>
          <w:ilvl w:val="0"/>
          <w:numId w:val="1003"/>
        </w:numPr>
        <w:pStyle w:val="Compact"/>
      </w:pPr>
      <w:r>
        <w:t xml:space="preserve">Houston Methodist Hospital Annual Report on Dental Services Utilization, 2023.</w:t>
      </w:r>
    </w:p>
    <w:bookmarkEnd w:id="27"/>
    <w:p>
      <w:pPr>
        <w:pStyle w:val="FirstParagraph"/>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Orthodontic Interventions in the Greater Houston Metroplex</dc:title>
  <dc:creator/>
  <dc:language>en</dc:language>
  <cp:keywords/>
  <dcterms:created xsi:type="dcterms:W3CDTF">2026-07-29T18:25:23Z</dcterms:created>
  <dcterms:modified xsi:type="dcterms:W3CDTF">2026-07-29T18:25:23Z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