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Energy</w:t>
      </w:r>
      <w:r>
        <w:t xml:space="preserve"> </w:t>
      </w:r>
      <w:r>
        <w:t xml:space="preserve">Transition</w:t>
      </w:r>
    </w:p>
    <w:bookmarkStart w:id="20" w:name="X8183ca3b3a9df3187588f77b4494a46665244db"/>
    <w:p>
      <w:pPr>
        <w:pStyle w:val="Heading1"/>
      </w:pPr>
      <w:r>
        <w:t xml:space="preserve">Bridging Fossil and Future: The Evolving Role of the Petroleum Engineer in Germany Berlin</w:t>
      </w:r>
    </w:p>
    <w:p>
      <w:pPr>
        <w:pStyle w:val="FirstParagraph"/>
      </w:pPr>
      <w:r>
        <w:rPr>
          <w:bCs/>
          <w:b/>
        </w:rPr>
        <w:t xml:space="preserve">Presentation Title:</w:t>
      </w:r>
      <w:r>
        <w:t xml:space="preserve"> </w:t>
      </w:r>
      <w:r>
        <w:t xml:space="preserve">Strategic Adaptation of Upstream Expertise for Decarbonization Goals in Northern Europe</w:t>
      </w:r>
    </w:p>
    <w:p>
      <w:pPr>
        <w:pStyle w:val="BodyText"/>
      </w:pPr>
      <w:r>
        <w:rPr>
          <w:bCs/>
          <w:b/>
        </w:rPr>
        <w:t xml:space="preserve">Affiliation:</w:t>
      </w:r>
      <w:r>
        <w:t xml:space="preserve"> </w:t>
      </w:r>
      <w:r>
        <w:t xml:space="preserve">Institute for Energy Systems and Petroleum Technology</w:t>
      </w:r>
      <w:r>
        <w:br/>
      </w:r>
      <w:r>
        <w:rPr>
          <w:bCs/>
          <w:b/>
        </w:rPr>
        <w:t xml:space="preserve">Location Focus:</w:t>
      </w:r>
      <w:r>
        <w:t xml:space="preserve"> </w:t>
      </w:r>
      <w:r>
        <w:t xml:space="preserve">Germany Berlin (Policy &amp; Research Hub) vs. North Sea Operations</w:t>
      </w:r>
    </w:p>
    <w:bookmarkEnd w:id="20"/>
    <w:bookmarkStart w:id="21" w:name="abstract"/>
    <w:p>
      <w:pPr>
        <w:pStyle w:val="Heading3"/>
      </w:pPr>
      <w:r>
        <w:rPr>
          <w:bCs/>
          <w:b/>
        </w:rPr>
        <w:t xml:space="preserve">Abstract</w:t>
      </w:r>
    </w:p>
    <w:p>
      <w:pPr>
        <w:pStyle w:val="FirstParagraph"/>
      </w:pPr>
      <w:r>
        <w:t xml:space="preserve">The global energy landscape is undergoing a paradigm shift, driven by climate urgency and policy mandates such as the European Green Deal. Within this context, the traditional role of the</w:t>
      </w:r>
      <w:r>
        <w:t xml:space="preserve"> </w:t>
      </w:r>
      <w:r>
        <w:rPr>
          <w:bCs/>
          <w:b/>
        </w:rPr>
        <w:t xml:space="preserve">Petroleum Engineer</w:t>
      </w:r>
      <w:r>
        <w:t xml:space="preserve"> </w:t>
      </w:r>
      <w:r>
        <w:t xml:space="preserve">is being critically redefined. This poster presentation explores how specialized engineering skills in reservoir characterization, fluid mechanics, and subsurface management are being repurposed to address carbon capture, utilization, and storage (CCUS) challenges. Specifically focusing on the geopolitical and scientific hub of</w:t>
      </w:r>
      <w:r>
        <w:t xml:space="preserve"> </w:t>
      </w:r>
      <w:r>
        <w:rPr>
          <w:bCs/>
          <w:b/>
        </w:rPr>
        <w:t xml:space="preserve">Germany Berlin</w:t>
      </w:r>
      <w:r>
        <w:t xml:space="preserve">, we analyze how policy directives originating from the capital influence engineering practices across European energy markets. The objective is to demonstrate that petroleum engineers possess transferable competencies essential for maintaining energy security while facilitating the transition away from fossil fuels.</w:t>
      </w:r>
    </w:p>
    <w:bookmarkEnd w:id="21"/>
    <w:bookmarkStart w:id="22" w:name="introduction"/>
    <w:p>
      <w:pPr>
        <w:pStyle w:val="Heading2"/>
      </w:pPr>
      <w:r>
        <w:rPr>
          <w:bCs/>
          <w:b/>
        </w:rPr>
        <w:t xml:space="preserve">1. Introduction</w:t>
      </w:r>
    </w:p>
    <w:p>
      <w:pPr>
        <w:pStyle w:val="FirstParagraph"/>
      </w:pPr>
      <w:r>
        <w:t xml:space="preserve">The narrative surrounding petroleum engineering has shifted dramatically in recent years. Historically, the discipline was synonymous with exploration and production (E&amp;P) of crude oil and natural gas. However, as a</w:t>
      </w:r>
      <w:r>
        <w:t xml:space="preserve"> </w:t>
      </w:r>
      <w:r>
        <w:rPr>
          <w:bCs/>
          <w:b/>
        </w:rPr>
        <w:t xml:space="preserve">Petroleum Engineer</w:t>
      </w:r>
      <w:r>
        <w:t xml:space="preserve">, one must now navigate a complex matrix of technical challenges and regulatory frameworks that prioritize sustainability. This is particularly relevant in Northern Europe, where the North Sea remains a significant energy source but is increasingly subject to strict environmental regulations.</w:t>
      </w:r>
    </w:p>
    <w:p>
      <w:pPr>
        <w:pStyle w:val="BodyText"/>
      </w:pPr>
      <w:r>
        <w:rPr>
          <w:bCs/>
          <w:b/>
        </w:rPr>
        <w:t xml:space="preserve">Germany Berlin</w:t>
      </w:r>
      <w:r>
        <w:t xml:space="preserve"> </w:t>
      </w:r>
      <w:r>
        <w:t xml:space="preserve">serves as more than just the political capital of Germany; it stands as a focal point for international climate diplomacy and energy policy formulation. The decisions made in</w:t>
      </w:r>
      <w:r>
        <w:t xml:space="preserve"> </w:t>
      </w:r>
      <w:r>
        <w:rPr>
          <w:bCs/>
          <w:b/>
        </w:rPr>
        <w:t xml:space="preserve">Germany Berlin</w:t>
      </w:r>
      <w:r>
        <w:t xml:space="preserve">, including federal subsidies for hydrogen technologies and carbon taxation mechanisms, directly impact how engineering firms operate. This presentation argues that the technical rigor inherent to petroleum engineering is not obsolete but is rather pivoting toward "Green Oilfields" and subsurface geostorage solutions.</w:t>
      </w:r>
    </w:p>
    <w:bookmarkEnd w:id="22"/>
    <w:bookmarkStart w:id="26" w:name="X1a0de7d3d86de537c9f3365adbb10e2b6707fc7"/>
    <w:p>
      <w:pPr>
        <w:pStyle w:val="Heading2"/>
      </w:pPr>
      <w:r>
        <w:rPr>
          <w:bCs/>
          <w:b/>
        </w:rPr>
        <w:t xml:space="preserve">2. Technical Adaptation: From Extraction to Storage</w:t>
      </w:r>
    </w:p>
    <w:p>
      <w:pPr>
        <w:pStyle w:val="FirstParagraph"/>
      </w:pPr>
      <w:r>
        <w:t xml:space="preserve">The core competencies of a modern</w:t>
      </w:r>
      <w:r>
        <w:t xml:space="preserve"> </w:t>
      </w:r>
      <w:r>
        <w:rPr>
          <w:bCs/>
          <w:b/>
        </w:rPr>
        <w:t xml:space="preserve">Petroleum Engineer</w:t>
      </w:r>
      <w:r>
        <w:t xml:space="preserve"> </w:t>
      </w:r>
      <w:r>
        <w:t xml:space="preserve">include reservoir simulation, well completion design, and production optimization. These skills are now being applied to novel applications:</w:t>
      </w:r>
    </w:p>
    <w:bookmarkStart w:id="23" w:name="a.-carbon-capture-and-storage-ccs"/>
    <w:p>
      <w:pPr>
        <w:pStyle w:val="Heading3"/>
      </w:pPr>
      <w:r>
        <w:t xml:space="preserve">A. Carbon Capture and Storage (CCS)</w:t>
      </w:r>
    </w:p>
    <w:p>
      <w:pPr>
        <w:pStyle w:val="FirstParagraph"/>
      </w:pPr>
      <w:r>
        <w:t xml:space="preserve">Petroleum engineers utilize their knowledge of porous media flow to model the injection of CO2 into depleted reservoirs or saline aquifers. This ensures that injected carbon remains sequestered over geological timescales, preventing leakage. In the context of European energy strategies discussed in</w:t>
      </w:r>
      <w:r>
        <w:t xml:space="preserve"> </w:t>
      </w:r>
      <w:r>
        <w:rPr>
          <w:bCs/>
          <w:b/>
        </w:rPr>
        <w:t xml:space="preserve">Germany Berlin</w:t>
      </w:r>
      <w:r>
        <w:t xml:space="preserve">, CCS is viewed as a bridge technology.</w:t>
      </w:r>
    </w:p>
    <w:bookmarkEnd w:id="23"/>
    <w:bookmarkStart w:id="24" w:name="b.-hydrogen-storage"/>
    <w:p>
      <w:pPr>
        <w:pStyle w:val="Heading3"/>
      </w:pPr>
      <w:r>
        <w:t xml:space="preserve">B. Hydrogen Storage</w:t>
      </w:r>
    </w:p>
    <w:p>
      <w:pPr>
        <w:pStyle w:val="FirstParagraph"/>
      </w:pPr>
      <w:r>
        <w:t xml:space="preserve">Battery storage has capacity limits for long-term seasonal balancing. Geological formations, previously used for natural gas, are now being evaluated by petroleum engineers for underground hydrogen storage. This requires re-evaluating rock-fluid interactions and seal integrity, areas of deep expertise in petroleum geomechanics.</w:t>
      </w:r>
    </w:p>
    <w:bookmarkEnd w:id="24"/>
    <w:bookmarkStart w:id="25" w:name="c.-enhanced-geothermal-systems-egs"/>
    <w:p>
      <w:pPr>
        <w:pStyle w:val="Heading3"/>
      </w:pPr>
      <w:r>
        <w:t xml:space="preserve">C. Enhanced Geothermal Systems (EGS)</w:t>
      </w:r>
    </w:p>
    <w:p>
      <w:pPr>
        <w:pStyle w:val="FirstParagraph"/>
      </w:pPr>
      <w:r>
        <w:t xml:space="preserve">The techniques used in hydraulic fracturing (fracking) for shale gas are being adapted to create enhanced geothermal systems. A</w:t>
      </w:r>
      <w:r>
        <w:t xml:space="preserve"> </w:t>
      </w:r>
      <w:r>
        <w:rPr>
          <w:bCs/>
          <w:b/>
        </w:rPr>
        <w:t xml:space="preserve">Petroleum Engineer</w:t>
      </w:r>
      <w:r>
        <w:t xml:space="preserve"> </w:t>
      </w:r>
      <w:r>
        <w:t xml:space="preserve">is uniquely qualified to manage the thermal-hydrological-mechanical coupling required to extract heat from deep underground sources, contributing to the renewable energy mix.</w:t>
      </w:r>
    </w:p>
    <w:bookmarkEnd w:id="25"/>
    <w:bookmarkEnd w:id="26"/>
    <w:bookmarkStart w:id="27" w:name="X21732a7b4a1770f5fb5d3fa651dfbc08d435637"/>
    <w:p>
      <w:pPr>
        <w:pStyle w:val="Heading2"/>
      </w:pPr>
      <w:r>
        <w:rPr>
          <w:bCs/>
          <w:b/>
        </w:rPr>
        <w:t xml:space="preserve">3. The Role of Germany Berlin in Energy Transition</w:t>
      </w:r>
    </w:p>
    <w:p>
      <w:pPr>
        <w:pStyle w:val="FirstParagraph"/>
      </w:pPr>
      <w:r>
        <w:t xml:space="preserve">The influence of the capital city cannot be overstated. Policy discussions and stakeholder meetings held in</w:t>
      </w:r>
      <w:r>
        <w:t xml:space="preserve"> </w:t>
      </w:r>
      <w:r>
        <w:rPr>
          <w:bCs/>
          <w:b/>
        </w:rPr>
        <w:t xml:space="preserve">Germany Berlin</w:t>
      </w:r>
      <w:r>
        <w:t xml:space="preserve"> </w:t>
      </w:r>
      <w:r>
        <w:t xml:space="preserve">set the tone for the national energy transition (</w:t>
      </w:r>
      <w:r>
        <w:rPr>
          <w:iCs/>
          <w:i/>
        </w:rPr>
        <w:t xml:space="preserve">Energiewende</w:t>
      </w:r>
      <w:r>
        <w:t xml:space="preserve">). For petroleum engineers operating in or supplying technology to this region, understanding the regulatory environment is as crucial as technical proficiency.</w:t>
      </w:r>
    </w:p>
    <w:p>
      <w:pPr>
        <w:numPr>
          <w:ilvl w:val="0"/>
          <w:numId w:val="1001"/>
        </w:numPr>
        <w:pStyle w:val="Compact"/>
      </w:pPr>
      <w:r>
        <w:rPr>
          <w:bCs/>
          <w:b/>
        </w:rPr>
        <w:t xml:space="preserve">Regulatory Framework:</w:t>
      </w:r>
      <w:r>
        <w:t xml:space="preserve"> </w:t>
      </w:r>
      <w:r>
        <w:t xml:space="preserve">The German government, coordinated through ministries often based in</w:t>
      </w:r>
      <w:r>
        <w:t xml:space="preserve"> </w:t>
      </w:r>
      <w:r>
        <w:rPr>
          <w:bCs/>
          <w:b/>
        </w:rPr>
        <w:t xml:space="preserve">Germany Berlin</w:t>
      </w:r>
      <w:r>
        <w:t xml:space="preserve">, is implementing strict emissions trading schemes. Petroleum engineers must now calculate carbon footprints with the same precision they once calculated recovery factors.</w:t>
      </w:r>
    </w:p>
    <w:p>
      <w:pPr>
        <w:numPr>
          <w:ilvl w:val="0"/>
          <w:numId w:val="1001"/>
        </w:numPr>
        <w:pStyle w:val="Compact"/>
      </w:pPr>
      <w:r>
        <w:rPr>
          <w:bCs/>
          <w:b/>
        </w:rPr>
        <w:t xml:space="preserve">Funding and Innovation:</w:t>
      </w:r>
      <w:r>
        <w:t xml:space="preserve"> </w:t>
      </w:r>
      <w:r>
        <w:t xml:space="preserve">Grants for decarbonization projects are frequently announced from hubs in</w:t>
      </w:r>
      <w:r>
        <w:t xml:space="preserve"> </w:t>
      </w:r>
      <w:r>
        <w:rPr>
          <w:bCs/>
          <w:b/>
        </w:rPr>
        <w:t xml:space="preserve">Germany Berlin</w:t>
      </w:r>
      <w:r>
        <w:t xml:space="preserve">. These initiatives seek interdisciplinary teams where petroleum engineers collaborate with data scientists and environmental policy experts.</w:t>
      </w:r>
    </w:p>
    <w:p>
      <w:pPr>
        <w:numPr>
          <w:ilvl w:val="0"/>
          <w:numId w:val="1001"/>
        </w:numPr>
        <w:pStyle w:val="Compact"/>
      </w:pPr>
      <w:r>
        <w:rPr>
          <w:bCs/>
          <w:b/>
        </w:rPr>
        <w:t xml:space="preserve">Educational Impact:</w:t>
      </w:r>
      <w:r>
        <w:t xml:space="preserve">: Universities in regions proximate to German influence are updating their curricula. The modern "Petroleum Engineer" degree now includes mandatory modules on sustainability, ethics, and carbon management.</w:t>
      </w:r>
    </w:p>
    <w:bookmarkEnd w:id="27"/>
    <w:bookmarkStart w:id="28" w:name="challenges-in-the-transition"/>
    <w:p>
      <w:pPr>
        <w:pStyle w:val="Heading2"/>
      </w:pPr>
      <w:r>
        <w:rPr>
          <w:bCs/>
          <w:b/>
        </w:rPr>
        <w:t xml:space="preserve">4. Challenges in the Transition</w:t>
      </w:r>
    </w:p>
    <w:p>
      <w:pPr>
        <w:pStyle w:val="FirstParagraph"/>
      </w:pPr>
      <w:r>
        <w:t xml:space="preserve">The transition is not without hurdles. There is a persistent skills gap where traditional upstream knowledge does not immediately translate to renewable integration without additional training. Furthermore, public perception in cities like those near</w:t>
      </w:r>
      <w:r>
        <w:t xml:space="preserve"> </w:t>
      </w:r>
      <w:r>
        <w:rPr>
          <w:bCs/>
          <w:b/>
        </w:rPr>
        <w:t xml:space="preserve">Germany Berlin</w:t>
      </w:r>
      <w:r>
        <w:t xml:space="preserve"> </w:t>
      </w:r>
      <w:r>
        <w:t xml:space="preserve">often holds a negative view of the oil and gas industry, creating social license issues for new projects involving subsurface manipulation.</w:t>
      </w:r>
    </w:p>
    <w:p>
      <w:pPr>
        <w:pStyle w:val="BodyText"/>
      </w:pPr>
      <w:r>
        <w:t xml:space="preserve">Additionally, the economic viability of CCUS projects often relies on government subsidies defined in policy capitals such as</w:t>
      </w:r>
      <w:r>
        <w:t xml:space="preserve"> </w:t>
      </w:r>
      <w:r>
        <w:rPr>
          <w:bCs/>
          <w:b/>
        </w:rPr>
        <w:t xml:space="preserve">Germany Berlin</w:t>
      </w:r>
      <w:r>
        <w:t xml:space="preserve">. Without stable regulatory support from these political centers, many engineering innovations may stall due to high capital expenditures.</w:t>
      </w:r>
    </w:p>
    <w:bookmarkEnd w:id="28"/>
    <w:bookmarkStart w:id="29" w:name="conclusion-and-future-outlook"/>
    <w:p>
      <w:pPr>
        <w:pStyle w:val="Heading2"/>
      </w:pPr>
      <w:r>
        <w:rPr>
          <w:bCs/>
          <w:b/>
        </w:rPr>
        <w:t xml:space="preserve">5. Conclusion and Future Outlook</w:t>
      </w:r>
    </w:p>
    <w:p>
      <w:pPr>
        <w:pStyle w:val="FirstParagraph"/>
      </w:pPr>
      <w:r>
        <w:t xml:space="preserve">In conclusion, the role of the</w:t>
      </w:r>
      <w:r>
        <w:t xml:space="preserve"> </w:t>
      </w:r>
      <w:r>
        <w:rPr>
          <w:bCs/>
          <w:b/>
        </w:rPr>
        <w:t xml:space="preserve">Petroleum Engineer</w:t>
      </w:r>
      <w:r>
        <w:t xml:space="preserve"> </w:t>
      </w:r>
      <w:r>
        <w:t xml:space="preserve">is undergoing a profound transformation. It is moving from a singular focus on hydrocarbon extraction to a broader discipline of subsurface energy management. This evolution is critical for achieving climate neutrality goals.</w:t>
      </w:r>
    </w:p>
    <w:p>
      <w:pPr>
        <w:pStyle w:val="BodyText"/>
      </w:pPr>
      <w:r>
        <w:t xml:space="preserve">The center of gravity for these changes is visible in policy hubs like</w:t>
      </w:r>
      <w:r>
        <w:t xml:space="preserve"> </w:t>
      </w:r>
      <w:r>
        <w:rPr>
          <w:bCs/>
          <w:b/>
        </w:rPr>
        <w:t xml:space="preserve">Germany Berlin</w:t>
      </w:r>
      <w:r>
        <w:t xml:space="preserve">, where the regulatory and financial frameworks are being established. Engineers who can bridge the gap between traditional reservoir engineering and new green technologies will be indispensable. By leveraging their expertise in fluid dynamics, geomechanics, and risk assessment, petroleum engineers can contribute significantly to a sustainable energy future.</w:t>
      </w:r>
    </w:p>
    <w:p>
      <w:pPr>
        <w:pStyle w:val="BodyText"/>
      </w:pPr>
      <w:r>
        <w:t xml:space="preserve">We recommend that academic institutions in Europe strengthen ties with industry leaders to ensure that the next generation of engineers is equipped not just for extraction, but for remediation and storage. The dialogue initiated in</w:t>
      </w:r>
      <w:r>
        <w:t xml:space="preserve"> </w:t>
      </w:r>
      <w:r>
        <w:rPr>
          <w:bCs/>
          <w:b/>
        </w:rPr>
        <w:t xml:space="preserve">Germany Berlin</w:t>
      </w:r>
      <w:r>
        <w:t xml:space="preserve"> </w:t>
      </w:r>
      <w:r>
        <w:t xml:space="preserve">must continue to drive technical innovation and professional re-skilling across the continent.</w:t>
      </w:r>
    </w:p>
    <w:bookmarkEnd w:id="29"/>
    <w:bookmarkStart w:id="30" w:name="selected-references"/>
    <w:p>
      <w:pPr>
        <w:pStyle w:val="Heading3"/>
      </w:pPr>
      <w:r>
        <w:rPr>
          <w:bCs/>
          <w:b/>
        </w:rPr>
        <w:t xml:space="preserve">6. Selected References</w:t>
      </w:r>
    </w:p>
    <w:p>
      <w:pPr>
        <w:numPr>
          <w:ilvl w:val="0"/>
          <w:numId w:val="1002"/>
        </w:numPr>
        <w:pStyle w:val="Compact"/>
      </w:pPr>
      <w:r>
        <w:t xml:space="preserve">European Commission. (2020). "The European Green Deal: A Blueprint for a Sustainable Future." Brussels.</w:t>
      </w:r>
    </w:p>
    <w:p>
      <w:pPr>
        <w:numPr>
          <w:ilvl w:val="0"/>
          <w:numId w:val="1002"/>
        </w:numPr>
        <w:pStyle w:val="Compact"/>
      </w:pPr>
      <w:r>
        <w:t xml:space="preserve">Speight, J. G. (2014). "The Chemistry and Technology of Petroleum." CRC Press.</w:t>
      </w:r>
    </w:p>
    <w:p>
      <w:pPr>
        <w:numPr>
          <w:ilvl w:val="0"/>
          <w:numId w:val="1002"/>
        </w:numPr>
        <w:pStyle w:val="Compact"/>
      </w:pPr>
      <w:r>
        <w:t xml:space="preserve">Bundesministerium für Wirtschaft und Klimaschutz. (2023). "National Hydrogen Strategy: Implementation Guidelines from Germany Berlin.".</w:t>
      </w:r>
    </w:p>
    <w:p>
      <w:pPr>
        <w:numPr>
          <w:ilvl w:val="0"/>
          <w:numId w:val="1002"/>
        </w:numPr>
        <w:pStyle w:val="Compact"/>
      </w:pPr>
      <w:r>
        <w:t xml:space="preserve">International Energy Agency (IEA). (2021). "Net Zero by 2050: A Roadmap for the Global Energy Sector.".</w:t>
      </w:r>
    </w:p>
    <w:p>
      <w:pPr>
        <w:numPr>
          <w:ilvl w:val="0"/>
          <w:numId w:val="1002"/>
        </w:numPr>
        <w:pStyle w:val="Compact"/>
      </w:pPr>
      <w:r>
        <w:t xml:space="preserve">American Association of Petroleum Geologists. (2022). "Shifting Paradigms: The Environmental Role of Modern Petroleum Engineers.".</w:t>
      </w:r>
    </w:p>
    <w:bookmarkEnd w:id="30"/>
    <w:p>
      <w:pPr>
        <w:pStyle w:val="FirstParagraph"/>
      </w:pPr>
      <w:r>
        <w:t xml:space="preserve">© 2023 Academic Poster Presentation Series. All rights reserved.</w:t>
      </w:r>
      <w:r>
        <w:br/>
      </w:r>
      <w:r>
        <w:t xml:space="preserve">Designed for dissemination in academic conferences across Europe, with specific relevance to stakeholders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the Context of Energy Transition</dc:title>
  <dc:creator/>
  <dc:language>en</dc:language>
  <cp:keywords/>
  <dcterms:created xsi:type="dcterms:W3CDTF">2026-07-29T04:30:40Z</dcterms:created>
  <dcterms:modified xsi:type="dcterms:W3CDTF">2026-07-29T04:30:40Z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