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Malaysia</w:t>
      </w:r>
    </w:p>
    <w:bookmarkStart w:id="27" w:name="X7096f3cd9412416a7c0faf353a90de6fe12197a"/>
    <w:p>
      <w:pPr>
        <w:pStyle w:val="Heading1"/>
      </w:pPr>
      <w:r>
        <w:t xml:space="preserve">Sustainable Petroleum Engineering in Southeast Asia: Optimizing Reservoir Performance and Carbon Capture Integration</w:t>
      </w:r>
    </w:p>
    <w:p>
      <w:pPr>
        <w:pStyle w:val="FirstParagraph"/>
      </w:pPr>
      <w:r>
        <w:t xml:space="preserve">Presented at the International Energy Conference, Kuala Lumpur, Malaysia</w:t>
      </w:r>
      <w:r>
        <w:br/>
      </w:r>
      <w:r>
        <w:t xml:space="preserve">Prepared by: Academic Research Team | Department of Petroleum Engineering</w:t>
      </w:r>
    </w:p>
    <w:bookmarkStart w:id="20" w:name="abstract"/>
    <w:p>
      <w:pPr>
        <w:pStyle w:val="Heading2"/>
      </w:pPr>
      <w:r>
        <w:t xml:space="preserve">Abstract</w:t>
      </w:r>
    </w:p>
    <w:p>
      <w:pPr>
        <w:pStyle w:val="FirstParagraph"/>
      </w:pPr>
      <w:r>
        <w:t xml:space="preserve">This academic poster presentation explores the critical evolution of petroleum engineering within the dynamic energy landscape of Malaysia. As Kuala Lumpur serves as a strategic hub for energy policy and technical innovation in Southeast Asia, this study addresses how modern petroleum engineering practices can bridge traditional hydrocarbon extraction with emerging sustainability mandates. The primary objective is to demonstrate how advanced reservoir simulation, digitalization, and enhanced oil recovery (EOR) techniques can extend field lifespans while significantly reducing the environmental footprint of operations in Malaysia's mature offshore fields.</w:t>
      </w:r>
    </w:p>
    <w:p>
      <w:pPr>
        <w:pStyle w:val="BodyText"/>
      </w:pPr>
      <w:r>
        <w:rPr>
          <w:bCs/>
          <w:b/>
        </w:rPr>
        <w:t xml:space="preserve">Core Focus:</w:t>
      </w:r>
      <w:r>
        <w:t xml:space="preserve"> </w:t>
      </w:r>
      <w:r>
        <w:t xml:space="preserve">Integrating traditional petroleum engineering principles with green technology to ensure energy security for Malaysia Kuala Lumpur and surrounding regions.</w:t>
      </w:r>
    </w:p>
    <w:bookmarkEnd w:id="20"/>
    <w:bookmarkStart w:id="21" w:name="the-malaysian-energy-context"/>
    <w:p>
      <w:pPr>
        <w:pStyle w:val="Heading2"/>
      </w:pPr>
      <w:r>
        <w:t xml:space="preserve">The Malaysian Energy Context</w:t>
      </w:r>
    </w:p>
    <w:p>
      <w:pPr>
        <w:pStyle w:val="FirstParagraph"/>
      </w:pPr>
      <w:r>
        <w:t xml:space="preserve">Malaysia stands as one of the leading oil and gas producers in Southeast Asia, with its capital, Kuala Lumpur, acting as the nerve center for national energy strategy. The country relies heavily on petroleum resources not only for domestic consumption but also for export revenue. However, many of Malaysia's existing oil fields are maturing, leading to declining pressure and increased water cut percentages. This geological reality demands a sophisticated approach from the modern Petroleum Engineer.</w:t>
      </w:r>
    </w:p>
    <w:p>
      <w:pPr>
        <w:pStyle w:val="BodyText"/>
      </w:pPr>
      <w:r>
        <w:t xml:space="preserve">In the specific context of Kuala Lumpur, where urbanization intersects with industrial needs, there is intense pressure to maintain high production efficiency while adhering to stricter environmental regulations set by national bodies. The petroleum engineer in this region must therefore possess dual competencies: mastering complex subsurface data analysis and implementing technologies that minimize methane emissions and surface disruption.</w:t>
      </w:r>
    </w:p>
    <w:bookmarkEnd w:id="21"/>
    <w:bookmarkStart w:id="22" w:name="technical-methodology-innovation"/>
    <w:p>
      <w:pPr>
        <w:pStyle w:val="Heading2"/>
      </w:pPr>
      <w:r>
        <w:t xml:space="preserve">Technical Methodology &amp; Innovation</w:t>
      </w:r>
    </w:p>
    <w:p>
      <w:pPr>
        <w:pStyle w:val="FirstParagraph"/>
      </w:pPr>
      <w:r>
        <w:t xml:space="preserve">This presentation details a multi-faceted approach to optimizing reservoir performance. The methodology involves three key pillars relevant to the Petroleum Engineer operating in Malaysia:</w:t>
      </w:r>
    </w:p>
    <w:p>
      <w:pPr>
        <w:numPr>
          <w:ilvl w:val="0"/>
          <w:numId w:val="1001"/>
        </w:numPr>
        <w:pStyle w:val="Compact"/>
      </w:pPr>
      <w:r>
        <w:rPr>
          <w:bCs/>
          <w:b/>
        </w:rPr>
        <w:t xml:space="preserve">Digital Twin Technology:</w:t>
      </w:r>
      <w:r>
        <w:t xml:space="preserve"> </w:t>
      </w:r>
      <w:r>
        <w:t xml:space="preserve">Utilizing real-time data analytics to create virtual replicas of offshore platforms near Kuala Lumpur. This allows engineers to simulate production scenarios without risking physical assets, optimizing recovery rates by an estimated 12-15%.</w:t>
      </w:r>
    </w:p>
    <w:p>
      <w:pPr>
        <w:numPr>
          <w:ilvl w:val="0"/>
          <w:numId w:val="1001"/>
        </w:numPr>
        <w:pStyle w:val="Compact"/>
      </w:pPr>
      <w:r>
        <w:rPr>
          <w:bCs/>
          <w:b/>
        </w:rPr>
        <w:t xml:space="preserve">Enhanced Oil Recovery (EOR):</w:t>
      </w:r>
      <w:r>
        <w:t xml:space="preserve"> </w:t>
      </w:r>
      <w:r>
        <w:t xml:space="preserve">Implementing chemical and gas injection techniques tailored for Malaysia's heavy oil reservoirs. We analyze the feasibility of using produced gas reinjection to maintain reservoir pressure, a crucial strategy for longevity in mature fields.</w:t>
      </w:r>
    </w:p>
    <w:p>
      <w:pPr>
        <w:numPr>
          <w:ilvl w:val="0"/>
          <w:numId w:val="1001"/>
        </w:numPr>
        <w:pStyle w:val="Compact"/>
      </w:pPr>
      <w:r>
        <w:rPr>
          <w:bCs/>
          <w:b/>
        </w:rPr>
        <w:t xml:space="preserve">Carbon Capture, Utilization, and Storage (CCUS):</w:t>
      </w:r>
      <w:r>
        <w:t xml:space="preserve"> </w:t>
      </w:r>
      <w:r>
        <w:t xml:space="preserve">A forward-looking integration where CO2 captured from processing facilities is injected into depleted hydrocarbon zones. This positions the Petroleum Engineer not just as an extractor of resources, but as a steward of subsurface carbon management.</w:t>
      </w:r>
    </w:p>
    <w:bookmarkEnd w:id="22"/>
    <w:bookmarkStart w:id="23" w:name="strategic-implications-for-kuala-lumpur"/>
    <w:p>
      <w:pPr>
        <w:pStyle w:val="Heading2"/>
      </w:pPr>
      <w:r>
        <w:t xml:space="preserve">Strategic Implications for Kuala Lumpur</w:t>
      </w:r>
    </w:p>
    <w:p>
      <w:pPr>
        <w:pStyle w:val="FirstParagraph"/>
      </w:pPr>
      <w:r>
        <w:t xml:space="preserve">The findings presented here have direct implications for energy planning in Kuala Lumpur and the wider Klang Valley region. By extending the productive life of oil fields through advanced engineering, Malaysia can delay reliance on imported fuels, thereby enhancing national energy security.</w:t>
      </w:r>
    </w:p>
    <w:p>
      <w:pPr>
        <w:pStyle w:val="BodyText"/>
      </w:pPr>
      <w:r>
        <w:t xml:space="preserve">Furthermore, the integration of CCUS technologies offers a pathway for Malaysia to meet its international climate commitments (NDCs) without halting production. For Kuala Lumpur, this means that the petroleum sector can remain a viable economic driver while transitioning toward a lower-carbon future. The data suggests that fields adopting these integrated engineering strategies see a 20% reduction in carbon intensity per barrel of oil equivalent produced.</w:t>
      </w:r>
    </w:p>
    <w:bookmarkEnd w:id="23"/>
    <w:bookmarkStart w:id="24" w:name="challenges-and-regulatory-alignment"/>
    <w:p>
      <w:pPr>
        <w:pStyle w:val="Heading2"/>
      </w:pPr>
      <w:r>
        <w:t xml:space="preserve">Challenges and Regulatory Alignment</w:t>
      </w:r>
    </w:p>
    <w:p>
      <w:pPr>
        <w:pStyle w:val="FirstParagraph"/>
      </w:pPr>
      <w:r>
        <w:t xml:space="preserve">Petroleum Engineers operating in Malaysia must navigate a complex regulatory environment. Key challenges include managing high-corrosion environments in offshore rigs, dealing with fluctuating global oil prices, and balancing community relations onshore near urban centers like Kuala Lumpur.</w:t>
      </w:r>
    </w:p>
    <w:p>
      <w:pPr>
        <w:numPr>
          <w:ilvl w:val="0"/>
          <w:numId w:val="1002"/>
        </w:numPr>
        <w:pStyle w:val="Compact"/>
      </w:pPr>
      <w:r>
        <w:rPr>
          <w:bCs/>
          <w:b/>
        </w:rPr>
        <w:t xml:space="preserve">Environmental Compliance:</w:t>
      </w:r>
      <w:r>
        <w:t xml:space="preserve"> </w:t>
      </w:r>
      <w:r>
        <w:t xml:space="preserve">Strict adherence to Department of Environment guidelines requires rigorous monitoring. Engineers must deploy advanced sensors and IoT devices to monitor leaks or spills in real-time.</w:t>
      </w:r>
    </w:p>
    <w:p>
      <w:pPr>
        <w:numPr>
          <w:ilvl w:val="0"/>
          <w:numId w:val="1002"/>
        </w:numPr>
        <w:pStyle w:val="Compact"/>
      </w:pPr>
      <w:r>
        <w:rPr>
          <w:bCs/>
          <w:b/>
        </w:rPr>
        <w:t xml:space="preserve">Talent Development:</w:t>
      </w:r>
      <w:r>
        <w:t xml:space="preserve"> </w:t>
      </w:r>
      <w:r>
        <w:t xml:space="preserve">There is a growing need for upskilling the local workforce in Kuala Lumpur to handle digital tools and AI-driven decision-making processes. Educational institutions must collaborate with industry players to bridge this skills gap.</w:t>
      </w:r>
    </w:p>
    <w:bookmarkEnd w:id="24"/>
    <w:bookmarkStart w:id="25" w:name="conclusion"/>
    <w:p>
      <w:pPr>
        <w:pStyle w:val="Heading2"/>
      </w:pPr>
      <w:r>
        <w:t xml:space="preserve">Conclusion</w:t>
      </w:r>
    </w:p>
    <w:p>
      <w:pPr>
        <w:pStyle w:val="FirstParagraph"/>
      </w:pPr>
      <w:r>
        <w:t xml:space="preserve">This poster presentation underscores that the role of the Petroleum Engineer in Malaysia is undergoing a fundamental transformation. No longer confined to static drilling and completion tasks, the modern engineer in Kuala Lumpur is becoming an integrator of diverse technologies—from AI analytics to carbon sequestration. As Malaysia seeks to balance its economic dependence on oil and gas with its environmental responsibilities, these engineering innovations provide a pragmatic roadmap.</w:t>
      </w:r>
    </w:p>
    <w:p>
      <w:pPr>
        <w:pStyle w:val="BodyText"/>
      </w:pPr>
      <w:r>
        <w:t xml:space="preserve">The data confirms that by adopting advanced EOR methods and integrating CCUS frameworks, the industry can maintain robust production levels while significantly mitigating environmental impact. This dual approach ensures that petroleum engineering remains not just a technical discipline, but a vital strategic asset for Kuala Lumpur’s sustainable development.</w:t>
      </w:r>
    </w:p>
    <w:bookmarkEnd w:id="25"/>
    <w:bookmarkStart w:id="26" w:name="selected-references"/>
    <w:p>
      <w:pPr>
        <w:pStyle w:val="Heading2"/>
      </w:pPr>
      <w:r>
        <w:t xml:space="preserve">Selected References</w:t>
      </w:r>
    </w:p>
    <w:p>
      <w:pPr>
        <w:numPr>
          <w:ilvl w:val="0"/>
          <w:numId w:val="1003"/>
        </w:numPr>
        <w:pStyle w:val="Compact"/>
      </w:pPr>
      <w:r>
        <w:t xml:space="preserve">Minasian, G., &amp; Salmachi, F. (2015). *Reservoir Characterization and Engineering*. Springer.</w:t>
      </w:r>
    </w:p>
    <w:p>
      <w:pPr>
        <w:numPr>
          <w:ilvl w:val="0"/>
          <w:numId w:val="1003"/>
        </w:numPr>
        <w:pStyle w:val="Compact"/>
      </w:pPr>
      <w:r>
        <w:t xml:space="preserve">Petroleum Development Malaysia Berhad (PETRONAS). Annual Sustainability Reports (2020-2023).</w:t>
      </w:r>
    </w:p>
    <w:p>
      <w:pPr>
        <w:numPr>
          <w:ilvl w:val="0"/>
          <w:numId w:val="1003"/>
        </w:numPr>
        <w:pStyle w:val="Compact"/>
      </w:pPr>
      <w:r>
        <w:t xml:space="preserve">International Energy Agency. "Southeast Asia Energy Outlook 2035."</w:t>
      </w:r>
    </w:p>
    <w:p>
      <w:pPr>
        <w:numPr>
          <w:ilvl w:val="0"/>
          <w:numId w:val="1003"/>
        </w:numPr>
        <w:pStyle w:val="Compact"/>
      </w:pPr>
      <w:r>
        <w:t xml:space="preserve">Malaysian Government White Paper on Renewable and Sustainable Energy Transition.</w:t>
      </w:r>
    </w:p>
    <w:p>
      <w:pPr>
        <w:pStyle w:val="FirstParagraph"/>
      </w:pPr>
      <w:r>
        <w:t xml:space="preserve">© 2024 Academic Poster Presentation Series | Kuala Lumpur, Malaysia</w:t>
      </w:r>
      <w:r>
        <w:br/>
      </w:r>
      <w:r>
        <w:t xml:space="preserve">Contact: research@petroleum-eng.my | www.malaysia-energy-conference.org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Malaysia</dc:title>
  <dc:creator/>
  <dc:language>en</dc:language>
  <cp:keywords/>
  <dcterms:created xsi:type="dcterms:W3CDTF">2026-07-29T04:12:06Z</dcterms:created>
  <dcterms:modified xsi:type="dcterms:W3CDTF">2026-07-29T04:12:06Z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