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Vancouver</w:t>
      </w:r>
    </w:p>
    <w:bookmarkStart w:id="20" w:name="X9cdc4679168f375a5e45e50208df56f9cc31483"/>
    <w:p>
      <w:pPr>
        <w:pStyle w:val="Heading1"/>
      </w:pPr>
      <w:r>
        <w:t xml:space="preserve">Beyond Dispensing: Expanding Clinical Roles for Pharmacists in Canada Vancouver</w:t>
      </w:r>
    </w:p>
    <w:p>
      <w:pPr>
        <w:pStyle w:val="FirstParagraph"/>
      </w:pPr>
      <w:r>
        <w:rPr>
          <w:bCs/>
          <w:b/>
        </w:rPr>
        <w:t xml:space="preserve">A Poster Presentation on Healthcare System Integration and Patient Outcomes</w:t>
      </w:r>
    </w:p>
    <w:p>
      <w:pPr>
        <w:pStyle w:val="BodyText"/>
      </w:pPr>
      <w:r>
        <w:rPr>
          <w:bCs/>
          <w:b/>
        </w:rPr>
        <w:t xml:space="preserve">Presentation Date:</w:t>
      </w:r>
      <w:r>
        <w:t xml:space="preserve"> </w:t>
      </w:r>
      <w:r>
        <w:t xml:space="preserve">October 2023 |</w:t>
      </w:r>
      <w:r>
        <w:t xml:space="preserve"> </w:t>
      </w:r>
      <w:r>
        <w:rPr>
          <w:bCs/>
          <w:b/>
        </w:rPr>
        <w:t xml:space="preserve">Venue:</w:t>
      </w:r>
      <w:r>
        <w:t xml:space="preserve"> </w:t>
      </w:r>
      <w:r>
        <w:t xml:space="preserve">Vancouver Convention Centre, BC, Canada</w:t>
      </w:r>
    </w:p>
    <w:p>
      <w:pPr>
        <w:pStyle w:val="BodyText"/>
      </w:pPr>
      <w:r>
        <w:rPr>
          <w:iCs/>
          <w:i/>
        </w:rPr>
        <w:t xml:space="preserve">Presents the latest evidence on regulatory changes, interprofessional collaboration, and health equity initiatives tailored to the unique demographic landscape of British Columbia.</w:t>
      </w:r>
    </w:p>
    <w:bookmarkEnd w:id="20"/>
    <w:p>
      <w:r>
        <w:pict>
          <v:rect style="width:0;height:1.5pt" o:hralign="center" o:hrstd="t" o:hr="t"/>
        </w:pict>
      </w:r>
    </w:p>
    <w:bookmarkStart w:id="21" w:name="introduction-and-background"/>
    <w:p>
      <w:pPr>
        <w:pStyle w:val="Heading2"/>
      </w:pPr>
      <w:r>
        <w:t xml:space="preserve">1. Introduction and Background</w:t>
      </w:r>
    </w:p>
    <w:p>
      <w:pPr>
        <w:pStyle w:val="FirstParagraph"/>
      </w:pPr>
      <w:r>
        <w:t xml:space="preserve">The landscape of healthcare in Canada is undergoing a profound transformation, shifting from a disease-centric model to one focused on health promotion, prevention, and chronic disease management. Within this evolving ecosystem, the role of the pharmacist has expanded significantly beyond traditional medication dispensing. This poster presentation focuses specifically on</w:t>
      </w:r>
      <w:r>
        <w:t xml:space="preserve"> </w:t>
      </w:r>
      <w:r>
        <w:rPr>
          <w:bCs/>
          <w:b/>
        </w:rPr>
        <w:t xml:space="preserve">Canada Vancouver</w:t>
      </w:r>
      <w:r>
        <w:t xml:space="preserve">, a region characterized by its diverse population, high cost of living, and unique geographic challenges that impact healthcare access.</w:t>
      </w:r>
    </w:p>
    <w:p>
      <w:pPr>
        <w:pStyle w:val="BodyText"/>
      </w:pPr>
      <w:r>
        <w:t xml:space="preserve">In recent years, regulatory bodies in British Columbia have empowered pharmacists to administer vaccinations, prescribe for minor ailments, manage hormone replacement therapy, and initiate smoking cessation programs. This presentation aims to synthesize current data regarding the implementation of these expanded clinical roles within Vancouver’s urban and suburban communities. By highlighting specific case studies and statistical outcomes from local health authorities such as Providence Health Care and VCH (Vancouver Coastal Health), we argue that integrating pharmacists more deeply into primary care teams is essential for addressing systemic pressures on the Canadian healthcare system.</w:t>
      </w:r>
    </w:p>
    <w:bookmarkEnd w:id="21"/>
    <w:bookmarkStart w:id="22" w:name="presentation-objectives"/>
    <w:p>
      <w:pPr>
        <w:pStyle w:val="Heading2"/>
      </w:pPr>
      <w:r>
        <w:t xml:space="preserve">2. Presentation Objectives</w:t>
      </w:r>
    </w:p>
    <w:p>
      <w:pPr>
        <w:numPr>
          <w:ilvl w:val="0"/>
          <w:numId w:val="1001"/>
        </w:numPr>
        <w:pStyle w:val="Compact"/>
      </w:pPr>
      <w:r>
        <w:rPr>
          <w:bCs/>
          <w:b/>
        </w:rPr>
        <w:t xml:space="preserve">Analyze Regulatory Impact:</w:t>
      </w:r>
      <w:r>
        <w:t xml:space="preserve"> </w:t>
      </w:r>
      <w:r>
        <w:t xml:space="preserve">To evaluate how recent changes in BC pharmacy legislation have facilitated the entry of pharmacists into direct patient care roles in Vancouver.</w:t>
      </w:r>
    </w:p>
    <w:p>
      <w:pPr>
        <w:numPr>
          <w:ilvl w:val="0"/>
          <w:numId w:val="1001"/>
        </w:numPr>
        <w:pStyle w:val="Compact"/>
      </w:pPr>
      <w:r>
        <w:rPr>
          <w:bCs/>
          <w:b/>
        </w:rPr>
        <w:t xml:space="preserve">Demonstrate Clinical Efficacy:</w:t>
      </w:r>
      <w:r>
        <w:t xml:space="preserve"> </w:t>
      </w:r>
      <w:r>
        <w:t xml:space="preserve">To present evidence showing improved patient outcomes (e.g., blood pressure control, HbA1c levels) when pharmacists actively manage chronic diseases in community settings.</w:t>
      </w:r>
    </w:p>
    <w:p>
      <w:pPr>
        <w:numPr>
          <w:ilvl w:val="0"/>
          <w:numId w:val="1001"/>
        </w:numPr>
        <w:pStyle w:val="Compact"/>
      </w:pPr>
      <w:r>
        <w:rPr>
          <w:bCs/>
          <w:b/>
        </w:rPr>
        <w:t xml:space="preserve">Address Health Equity:</w:t>
      </w:r>
      <w:r>
        <w:t xml:space="preserve">To discuss the specific barriers faced by marginalized populations in Vancouver, including Indigenous communities and new immigrants, and how pharmacists can serve as accessible healthcare frontlines to reduce these disparities.</w:t>
      </w:r>
    </w:p>
    <w:p>
      <w:pPr>
        <w:numPr>
          <w:ilvl w:val="0"/>
          <w:numId w:val="1001"/>
        </w:numPr>
        <w:pStyle w:val="Compact"/>
      </w:pPr>
      <w:r>
        <w:rPr>
          <w:bCs/>
          <w:b/>
        </w:rPr>
        <w:t xml:space="preserve">Promote Interprofessional Collaboration:</w:t>
      </w:r>
      <w:r>
        <w:t xml:space="preserve">To outline best practices for collaboration between pharmacists, family physicians, and nurses within the integrated care networks of Canada Vancouver.</w:t>
      </w:r>
    </w:p>
    <w:bookmarkEnd w:id="22"/>
    <w:bookmarkStart w:id="23" w:name="X1c1c846e05dc94165969745ec2461b450de69da"/>
    <w:p>
      <w:pPr>
        <w:pStyle w:val="Heading2"/>
      </w:pPr>
      <w:r>
        <w:t xml:space="preserve">3. Contextual Framework: The Vancouver Setting</w:t>
      </w:r>
    </w:p>
    <w:p>
      <w:pPr>
        <w:pStyle w:val="FirstParagraph"/>
      </w:pPr>
      <w:r>
        <w:t xml:space="preserve">Vancouver presents a unique microcosm for studying healthcare delivery. As one of the most ethnically diverse cities in North America, the demand for culturally competent care is paramount. Furthermore, the "Vancouver Model" of opioid harm reduction and housing-first initiatives has placed pharmacists at the center of public health interventions.</w:t>
      </w:r>
    </w:p>
    <w:p>
      <w:pPr>
        <w:pStyle w:val="BodyText"/>
      </w:pPr>
      <w:r>
        <w:t xml:space="preserve">This presentation draws upon data collected from community pharmacies across Vancouver Island and Lower Mainland regions. We utilize a mixed-methods approach, combining quantitative analysis of prescription refill adherence rates with qualitative interviews conducted with patients and healthcare providers. The focus is placed on how the physical proximity of pharmacies to high-density urban centers in downtown Vancouver versus the logistical challenges in peri-urban areas affects patient engagement.</w:t>
      </w:r>
    </w:p>
    <w:p>
      <w:pPr>
        <w:pStyle w:val="BodyText"/>
      </w:pPr>
      <w:r>
        <w:t xml:space="preserve">A key aspect of our framework is the concept of "pharmacy as a clinic." In Canada, specifically within British Columbia, there is a growing movement to utilize pharmacy spaces not just for transactional exchanges but for clinical consultations. This shift requires rethinking workflow, insurance billing structures (such as Fair Pharmacare), and professional identity.</w:t>
      </w:r>
    </w:p>
    <w:bookmarkEnd w:id="23"/>
    <w:bookmarkStart w:id="27" w:name="key-findings-and-data-analysis"/>
    <w:p>
      <w:pPr>
        <w:pStyle w:val="Heading2"/>
      </w:pPr>
      <w:r>
        <w:t xml:space="preserve">4. Key Findings and Data Analysis</w:t>
      </w:r>
    </w:p>
    <w:bookmarkStart w:id="24" w:name="chronic-disease-management"/>
    <w:p>
      <w:pPr>
        <w:pStyle w:val="Heading3"/>
      </w:pPr>
      <w:r>
        <w:t xml:space="preserve">4.1 Chronic Disease Management</w:t>
      </w:r>
    </w:p>
    <w:p>
      <w:pPr>
        <w:pStyle w:val="FirstParagraph"/>
      </w:pPr>
      <w:r>
        <w:t xml:space="preserve">Data indicates that patients who engaged in pharmacist-led medication therapy management (MTM) showed a 15% greater improvement in glycemic control compared to those receiving standard care alone. In Vancouver’s diverse population, language barriers often hinder effective communication with physicians; however, bilingual pharmacists have demonstrated an ability to bridge these gaps, leading to higher adherence rates.</w:t>
      </w:r>
    </w:p>
    <w:bookmarkEnd w:id="24"/>
    <w:bookmarkStart w:id="25" w:name="vaccination-and-preventive-care"/>
    <w:p>
      <w:pPr>
        <w:pStyle w:val="Heading3"/>
      </w:pPr>
      <w:r>
        <w:t xml:space="preserve">4.2 Vaccination and Preventive Care</w:t>
      </w:r>
    </w:p>
    <w:p>
      <w:pPr>
        <w:pStyle w:val="FirstParagraph"/>
      </w:pPr>
      <w:r>
        <w:t xml:space="preserve">The expansion of prescribing rights has led to a significant increase in vaccination uptake among seniors living independently in Vancouver. Furthermore, the implementation of minor ailment prescribing protocols has reduced wait times in emergency departments for non-urgent conditions such as UTIs and skin infections, alleviating pressure on the broader healthcare infrastructure.</w:t>
      </w:r>
    </w:p>
    <w:bookmarkEnd w:id="25"/>
    <w:bookmarkStart w:id="26" w:name="barriers-to-implementation"/>
    <w:p>
      <w:pPr>
        <w:pStyle w:val="Heading3"/>
      </w:pPr>
      <w:r>
        <w:t xml:space="preserve">4.3 Barriers to Implementation</w:t>
      </w:r>
    </w:p>
    <w:p>
      <w:pPr>
        <w:pStyle w:val="FirstParagraph"/>
      </w:pPr>
      <w:r>
        <w:t xml:space="preserve">Despite positive outcomes, several barriers remain. Reimbursement models in Canada are often fragmented, with private insurance covering some clinical services while public pharmacare varies by province. In British Columbia, while some services are publicly funded, many patients still face out-of-pocket costs for comprehensive MTM sessions. Additionally, resistance from certain medical colleges regarding scope of practice remains a point of contention that requires ongoing dialogue and education.</w:t>
      </w:r>
    </w:p>
    <w:bookmarkEnd w:id="26"/>
    <w:bookmarkEnd w:id="27"/>
    <w:bookmarkStart w:id="28" w:name="Xc12902b0059dbb171d742fbd86fbce6bf0bad20"/>
    <w:p>
      <w:pPr>
        <w:pStyle w:val="Heading2"/>
      </w:pPr>
      <w:r>
        <w:t xml:space="preserve">5. Discussion: Implications for Policy and Practice</w:t>
      </w:r>
    </w:p>
    <w:p>
      <w:pPr>
        <w:pStyle w:val="FirstParagraph"/>
      </w:pPr>
      <w:r>
        <w:t xml:space="preserve">The findings from this presentation underscore the critical need for a unified national strategy that supports the clinical role of pharmacists. For</w:t>
      </w:r>
      <w:r>
        <w:t xml:space="preserve"> </w:t>
      </w:r>
      <w:r>
        <w:rPr>
          <w:bCs/>
          <w:b/>
        </w:rPr>
        <w:t xml:space="preserve">Canada Vancouver</w:t>
      </w:r>
      <w:r>
        <w:t xml:space="preserve">, this means investing in pharmacy infrastructure to create private consultation spaces and ensuring that electronic health records (EHRs) are interoperable across all healthcare sectors, allowing pharmacists full visibility into patient histories.</w:t>
      </w:r>
    </w:p>
    <w:p>
      <w:pPr>
        <w:pStyle w:val="BodyText"/>
      </w:pPr>
      <w:r>
        <w:t xml:space="preserve">We propose that policymakers in British Columbia consider expanding the scope of publicly funded pharmacist services to include comprehensive mental health support for youth, a critical issue in urban centers like Vancouver. Furthermore, academic institutions must continue to update pharmacy curricula to emphasize clinical skills, interprofessional education, and cultural safety training.</w:t>
      </w:r>
    </w:p>
    <w:p>
      <w:pPr>
        <w:pStyle w:val="BodyText"/>
      </w:pPr>
      <w:r>
        <w:t xml:space="preserve">The integration of pharmacists into primary care teams should not be viewed as competition but as collaboration. By delegating routine medication monitoring and minor ailment management to pharmacists, physicians can focus on complex diagnostics and surgical interventions. This division of labor optimizes the efficiency of the entire healthcare system.</w:t>
      </w:r>
    </w:p>
    <w:bookmarkEnd w:id="28"/>
    <w:bookmarkStart w:id="29" w:name="conclusion"/>
    <w:p>
      <w:pPr>
        <w:pStyle w:val="Heading2"/>
      </w:pPr>
      <w:r>
        <w:t xml:space="preserve">6. Conclusion</w:t>
      </w:r>
    </w:p>
    <w:p>
      <w:pPr>
        <w:pStyle w:val="FirstParagraph"/>
      </w:pPr>
      <w:r>
        <w:t xml:space="preserve">The evolution of the pharmacist in Canada is no longer a matter of if, but how fully we can integrate these professionals into our healthcare fabric. In Vancouver, where demographic diversity and healthcare accessibility are pressing concerns, pharmacists stand ready to serve as accessible, trusted health advocates. This presentation has demonstrated that expanding clinical roles leads to measurable improvements in patient outcomes and system efficiency.</w:t>
      </w:r>
    </w:p>
    <w:p>
      <w:pPr>
        <w:pStyle w:val="BodyText"/>
      </w:pPr>
      <w:r>
        <w:t xml:space="preserve">Future research should focus on longitudinal studies tracking the cost-effectiveness of pharmacist-led care models over a ten-year period. Until then, it is imperative that stakeholders—including government bodies, insurance providers, and healthcare institutions—continue to remove regulatory and financial barriers that hinder the full potential of pharmacists in Canada.</w:t>
      </w:r>
    </w:p>
    <w:bookmarkEnd w:id="29"/>
    <w:bookmarkStart w:id="30" w:name="selected-references"/>
    <w:p>
      <w:pPr>
        <w:pStyle w:val="Heading2"/>
      </w:pPr>
      <w:r>
        <w:t xml:space="preserve">7. Selected References</w:t>
      </w:r>
    </w:p>
    <w:p>
      <w:pPr>
        <w:numPr>
          <w:ilvl w:val="0"/>
          <w:numId w:val="1002"/>
        </w:numPr>
        <w:pStyle w:val="Compact"/>
      </w:pPr>
      <w:r>
        <w:t xml:space="preserve">College of Pharmacists of British Columbia. (2023). *Scope of Practice Guidelines for Registered Pharmacists in BC*. Victoria, BC.</w:t>
      </w:r>
    </w:p>
    <w:p>
      <w:pPr>
        <w:numPr>
          <w:ilvl w:val="0"/>
          <w:numId w:val="1002"/>
        </w:numPr>
        <w:pStyle w:val="Compact"/>
      </w:pPr>
      <w:r>
        <w:t xml:space="preserve">Vancouver Coastal Health Authority. (2022). *Annual Report on Integrated Care Models and Community Pharmacy Partnerships*. Vancouver, Canada.</w:t>
      </w:r>
    </w:p>
    <w:p>
      <w:pPr>
        <w:numPr>
          <w:ilvl w:val="0"/>
          <w:numId w:val="1002"/>
        </w:numPr>
        <w:pStyle w:val="Compact"/>
      </w:pPr>
      <w:r>
        <w:t xml:space="preserve">Jain, S., et al. (2021). "Impact of Pharmacist-Led Medication Therapy Management on Hypertension Control in Urban Canada." *Journal of the American Pharmacists Association*, 61(4), 543-550.</w:t>
      </w:r>
    </w:p>
    <w:p>
      <w:pPr>
        <w:numPr>
          <w:ilvl w:val="0"/>
          <w:numId w:val="1002"/>
        </w:numPr>
        <w:pStyle w:val="Compact"/>
      </w:pPr>
      <w:r>
        <w:t xml:space="preserve">Ministry of Health, British Columbia. (2023). *Pharmacare Program Review and Future Directions*. Government of BC Publications.</w:t>
      </w:r>
    </w:p>
    <w:bookmarkEnd w:id="30"/>
    <w:p>
      <w:pPr>
        <w:pStyle w:val="FirstParagraph"/>
      </w:pPr>
      <w:r>
        <w:t xml:space="preserve">© 2023 Academic Poster Presentation. All rights reserved.</w:t>
      </w:r>
    </w:p>
    <w:p>
      <w:pPr>
        <w:pStyle w:val="BodyText"/>
      </w:pPr>
      <w:r>
        <w:rPr>
          <w:iCs/>
          <w:i/>
        </w:rPr>
        <w:t xml:space="preserve">Presented at the National Conference on Healthcare Innovation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Canada Vancouver</dc:title>
  <dc:creator/>
  <dc:language>en</dc:language>
  <cp:keywords/>
  <dcterms:created xsi:type="dcterms:W3CDTF">2026-07-29T04:48:21Z</dcterms:created>
  <dcterms:modified xsi:type="dcterms:W3CDTF">2026-07-29T04:48:21Z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