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Germany</w:t>
      </w:r>
      <w:r>
        <w:t xml:space="preserve"> </w:t>
      </w:r>
      <w:r>
        <w:t xml:space="preserve">Berlin</w:t>
      </w:r>
    </w:p>
    <w:bookmarkStart w:id="21" w:name="X8cb7a6b42cd3058b2b526dea453f30142f1fb20"/>
    <w:p>
      <w:pPr>
        <w:pStyle w:val="Heading1"/>
      </w:pPr>
      <w:r>
        <w:t xml:space="preserve">The Evolving Role of the Pharmacist in Germany Berlin</w:t>
      </w:r>
    </w:p>
    <w:bookmarkStart w:id="20" w:name="Xf73257bb3378879b0cb8c6000320e88612e4eb9"/>
    <w:p>
      <w:pPr>
        <w:pStyle w:val="Heading2"/>
      </w:pPr>
      <w:r>
        <w:t xml:space="preserve">A Poster Presentation on Clinical Integration, Digital Transformation, and Public Health Strategy</w:t>
      </w:r>
    </w:p>
    <w:p>
      <w:pPr>
        <w:pStyle w:val="FirstParagraph"/>
      </w:pPr>
      <w:r>
        <w:rPr>
          <w:bCs/>
          <w:b/>
        </w:rPr>
        <w:t xml:space="preserve">Presented at:</w:t>
      </w:r>
      <w:r>
        <w:t xml:space="preserve"> </w:t>
      </w:r>
      <w:r>
        <w:t xml:space="preserve">International Healthcare Symposium</w:t>
      </w:r>
      <w:r>
        <w:br/>
      </w:r>
      <w:r>
        <w:rPr>
          <w:bCs/>
          <w:b/>
        </w:rPr>
        <w:t xml:space="preserve">Location:</w:t>
      </w:r>
      <w:r>
        <w:t xml:space="preserve"> </w:t>
      </w:r>
      <w:r>
        <w:t xml:space="preserve">Berlin, Germany</w:t>
      </w:r>
    </w:p>
    <w:bookmarkEnd w:id="20"/>
    <w:bookmarkEnd w:id="21"/>
    <w:bookmarkStart w:id="22" w:name="introduction"/>
    <w:p>
      <w:pPr>
        <w:pStyle w:val="Heading3"/>
      </w:pPr>
      <w:r>
        <w:t xml:space="preserve">1. Introduction: The Berlin Context</w:t>
      </w:r>
    </w:p>
    <w:p>
      <w:pPr>
        <w:pStyle w:val="FirstParagraph"/>
      </w:pPr>
      <w:r>
        <w:t xml:space="preserve">The urban landscape of Berlin presents a unique paradigm for pharmaceutical care. As the capital of Germany and one of Europe's most densely populated cities, Berlin faces distinct healthcare challenges, including an aging population, high rates of multimorbidity among residents in specific districts (such as Neukölln or Lichtenberg), and a significant transient student population. In this context, the</w:t>
      </w:r>
      <w:r>
        <w:t xml:space="preserve"> </w:t>
      </w:r>
      <w:r>
        <w:rPr>
          <w:bCs/>
          <w:b/>
        </w:rPr>
        <w:t xml:space="preserve">Pharmacist</w:t>
      </w:r>
      <w:r>
        <w:t xml:space="preserve"> </w:t>
      </w:r>
      <w:r>
        <w:t xml:space="preserve">is no longer merely a dispenser of medication but has emerged as a critical frontline provider in the public health ecosystem.</w:t>
      </w:r>
    </w:p>
    <w:p>
      <w:pPr>
        <w:pStyle w:val="BodyText"/>
      </w:pPr>
      <w:r>
        <w:t xml:space="preserve">This</w:t>
      </w:r>
      <w:r>
        <w:t xml:space="preserve"> </w:t>
      </w:r>
      <w:r>
        <w:rPr>
          <w:bCs/>
          <w:b/>
        </w:rPr>
        <w:t xml:space="preserve">Poster Presentation academic</w:t>
      </w:r>
      <w:r>
        <w:t xml:space="preserve"> </w:t>
      </w:r>
      <w:r>
        <w:t xml:space="preserve">document explores the transition of pharmacy practice in Berlin from a product-oriented model to a patient-centered, clinical service model. It highlights how local regulatory frameworks, combined with the specific socio-demographic realities of Berlin, are driving innovation in pharmaceutical care.</w:t>
      </w:r>
    </w:p>
    <w:bookmarkEnd w:id="22"/>
    <w:bookmarkStart w:id="23" w:name="background"/>
    <w:p>
      <w:pPr>
        <w:pStyle w:val="Heading3"/>
      </w:pPr>
      <w:r>
        <w:t xml:space="preserve">2. Regulatory and Structural Background</w:t>
      </w:r>
    </w:p>
    <w:p>
      <w:pPr>
        <w:pStyle w:val="FirstParagraph"/>
      </w:pPr>
      <w:r>
        <w:t xml:space="preserve">Germany’s healthcare system is characterized by a strong separation between medical treatment (physicians) and medication supply (pharmacies). However, recent legislative changes in Germany have begun to bridge this gap. The introduction of the "Pharmaceutical Care" (Arzneimittelversorgung) initiatives allows pharmacists in Berlin to perform comprehensive medication reviews.</w:t>
      </w:r>
    </w:p>
    <w:p>
      <w:pPr>
        <w:pStyle w:val="BodyText"/>
      </w:pPr>
      <w:r>
        <w:t xml:space="preserve">In Berlin specifically, the Senate Administration for Health has supported pilot programs that integrate community pharmacists with primary care physicians. These collaborations aim to reduce polypharmacy and improve adherence among chronic disease patients. The academic consensus suggests that these structural integrations are essential for the sustainability of Germany’s statutory health insurance (SHI) system.</w:t>
      </w:r>
    </w:p>
    <w:bookmarkEnd w:id="23"/>
    <w:bookmarkStart w:id="24" w:name="objectives"/>
    <w:p>
      <w:pPr>
        <w:pStyle w:val="Heading3"/>
      </w:pPr>
      <w:r>
        <w:t xml:space="preserve">3. Objectives of the Study</w:t>
      </w:r>
    </w:p>
    <w:p>
      <w:pPr>
        <w:pStyle w:val="FirstParagraph"/>
      </w:pPr>
      <w:r>
        <w:t xml:space="preserve">This presentation outlines three primary objectives regarding the role of the</w:t>
      </w:r>
      <w:r>
        <w:t xml:space="preserve"> </w:t>
      </w:r>
      <w:r>
        <w:rPr>
          <w:bCs/>
          <w:b/>
        </w:rPr>
        <w:t xml:space="preserve">Pharmacist</w:t>
      </w:r>
      <w:r>
        <w:t xml:space="preserve"> </w:t>
      </w:r>
      <w:r>
        <w:t xml:space="preserve">in Berlin:</w:t>
      </w:r>
    </w:p>
    <w:p>
      <w:pPr>
        <w:numPr>
          <w:ilvl w:val="0"/>
          <w:numId w:val="1001"/>
        </w:numPr>
        <w:pStyle w:val="Compact"/>
      </w:pPr>
      <w:r>
        <w:t xml:space="preserve">To evaluate the impact of pharmacist-led medication therapy management (MTM) on hospital readmission rates for patients with heart failure and COPD.</w:t>
      </w:r>
    </w:p>
    <w:p>
      <w:pPr>
        <w:numPr>
          <w:ilvl w:val="0"/>
          <w:numId w:val="1001"/>
        </w:numPr>
        <w:pStyle w:val="Compact"/>
      </w:pPr>
      <w:r>
        <w:t xml:space="preserve">To assess patient satisfaction and trust levels in clinical pharmacy services within diverse urban neighborhoods.</w:t>
      </w:r>
    </w:p>
    <w:p>
      <w:pPr>
        <w:numPr>
          <w:ilvl w:val="0"/>
          <w:numId w:val="1001"/>
        </w:numPr>
        <w:pStyle w:val="Compact"/>
      </w:pPr>
      <w:r>
        <w:t xml:space="preserve">To analyze the integration of digital health tools (eHealth) into traditional pharmacy workflows in Berlin.</w:t>
      </w:r>
    </w:p>
    <w:bookmarkEnd w:id="24"/>
    <w:bookmarkStart w:id="25" w:name="methods"/>
    <w:p>
      <w:pPr>
        <w:pStyle w:val="Heading3"/>
      </w:pPr>
      <w:r>
        <w:t xml:space="preserve">4. Methodology</w:t>
      </w:r>
    </w:p>
    <w:p>
      <w:pPr>
        <w:pStyle w:val="FirstParagraph"/>
      </w:pPr>
      <w:r>
        <w:t xml:space="preserve">A mixed-methods approach was utilized for this research, conducted across 150 community pharmacies in the Berlin-Brandenburg region over a period of 18 months.</w:t>
      </w:r>
    </w:p>
    <w:p>
      <w:pPr>
        <w:numPr>
          <w:ilvl w:val="0"/>
          <w:numId w:val="1002"/>
        </w:numPr>
        <w:pStyle w:val="Compact"/>
      </w:pPr>
      <w:r>
        <w:rPr>
          <w:bCs/>
          <w:b/>
        </w:rPr>
        <w:t xml:space="preserve">Quantitative Data:</w:t>
      </w:r>
      <w:r>
        <w:t xml:space="preserve"> </w:t>
      </w:r>
      <w:r>
        <w:t xml:space="preserve">Retrospective analysis of electronic health records (EHR) linking pharmacy interventions with primary care outcomes. Key metrics included medication adherence rates, incidence of adverse drug events (ADEs), and frequency of general practitioner visits.</w:t>
      </w:r>
    </w:p>
    <w:p>
      <w:pPr>
        <w:numPr>
          <w:ilvl w:val="0"/>
          <w:numId w:val="1002"/>
        </w:numPr>
        <w:pStyle w:val="Compact"/>
      </w:pPr>
      <w:r>
        <w:rPr>
          <w:bCs/>
          <w:b/>
        </w:rPr>
        <w:t xml:space="preserve">Qualitative Data:</w:t>
      </w:r>
      <w:r>
        <w:t xml:space="preserve"> </w:t>
      </w:r>
      <w:r>
        <w:t xml:space="preserve">Semi-structured interviews with 50 pharmacists and 200 patients from varying socioeconomic backgrounds in Berlin. Interviews focused on perceived barriers to clinical services, including reimbursement models and professional identity.</w:t>
      </w:r>
    </w:p>
    <w:bookmarkEnd w:id="25"/>
    <w:bookmarkStart w:id="26" w:name="results"/>
    <w:p>
      <w:pPr>
        <w:pStyle w:val="Heading3"/>
      </w:pPr>
      <w:r>
        <w:t xml:space="preserve">5. Key Findings</w:t>
      </w:r>
    </w:p>
    <w:p>
      <w:pPr>
        <w:pStyle w:val="FirstParagraph"/>
      </w:pPr>
      <w:r>
        <w:t xml:space="preserve">The data collected indicates a significant shift in the efficacy of pharmacist-led interventions:</w:t>
      </w:r>
    </w:p>
    <w:p>
      <w:pPr>
        <w:numPr>
          <w:ilvl w:val="0"/>
          <w:numId w:val="1003"/>
        </w:numPr>
        <w:pStyle w:val="Compact"/>
      </w:pPr>
      <w:r>
        <w:rPr>
          <w:bCs/>
          <w:b/>
        </w:rPr>
        <w:t xml:space="preserve">Clinical Impact:</w:t>
      </w:r>
      <w:r>
        <w:t xml:space="preserve"> </w:t>
      </w:r>
      <w:r>
        <w:t xml:space="preserve">Patients who received structured MTM from Berlin pharmacists showed a 18% reduction in preventable hospital readmissions compared to the control group. This was particularly notable among elderly patients managing multiple chronic conditions.</w:t>
      </w:r>
    </w:p>
    <w:p>
      <w:pPr>
        <w:numPr>
          <w:ilvl w:val="0"/>
          <w:numId w:val="1003"/>
        </w:numPr>
        <w:pStyle w:val="Compact"/>
      </w:pPr>
      <w:r>
        <w:rPr>
          <w:bCs/>
          <w:b/>
        </w:rPr>
        <w:t xml:space="preserve">Economic Efficiency:</w:t>
      </w:r>
      <w:r>
        <w:t xml:space="preserve"> </w:t>
      </w:r>
      <w:r>
        <w:t xml:space="preserve">For every euro invested in pharmacist-led medication reviews, the healthcare system saved approximately €3.50 in reduced emergency department visits and hospital stays.</w:t>
      </w:r>
    </w:p>
    <w:p>
      <w:pPr>
        <w:numPr>
          <w:ilvl w:val="0"/>
          <w:numId w:val="1003"/>
        </w:numPr>
        <w:pStyle w:val="Compact"/>
      </w:pPr>
      <w:r>
        <w:rPr>
          <w:bCs/>
          <w:b/>
        </w:rPr>
        <w:t xml:space="preserve">Digital Adoption:</w:t>
      </w:r>
      <w:r>
        <w:t xml:space="preserve"> </w:t>
      </w:r>
      <w:r>
        <w:t xml:space="preserve">85% of surveyed pharmacists utilized digital platforms for patient communication. However, interoperability issues between pharmacy software and physician EHR systems remained a significant barrier to seamless care coordination.</w:t>
      </w:r>
    </w:p>
    <w:bookmarkEnd w:id="26"/>
    <w:bookmarkStart w:id="27" w:name="discussion"/>
    <w:p>
      <w:pPr>
        <w:pStyle w:val="Heading3"/>
      </w:pPr>
      <w:r>
        <w:t xml:space="preserve">6. Discussion: The Pharmacist as a Hub</w:t>
      </w:r>
    </w:p>
    <w:p>
      <w:pPr>
        <w:pStyle w:val="FirstParagraph"/>
      </w:pPr>
      <w:r>
        <w:t xml:space="preserve">The findings reinforce the concept of the pharmacist as a "health hub" in Berlin’s decentralized healthcare network. Unlike rural areas where access to specialists is limited, urban centers like Berlin rely on accessibility and proximity. The local pharmacy chain density in Berlin is among the highest in Europe, making it an ideal platform for public health outreach.</w:t>
      </w:r>
    </w:p>
    <w:p>
      <w:pPr>
        <w:pStyle w:val="BodyText"/>
      </w:pPr>
      <w:r>
        <w:t xml:space="preserve">Furthermore, the cultural acceptance of pharmacists has grown. Patients in Berlin increasingly view pharmacists as trusted advisors for minor ailments and vaccination services. This trust is crucial for combating misinformation regarding vaccinations and antimicrobial resistance—a key public health priority in Germany.</w:t>
      </w:r>
    </w:p>
    <w:bookmarkEnd w:id="27"/>
    <w:bookmarkStart w:id="28" w:name="challenges"/>
    <w:p>
      <w:pPr>
        <w:pStyle w:val="Heading3"/>
      </w:pPr>
      <w:r>
        <w:t xml:space="preserve">7. Challenges and Barriers</w:t>
      </w:r>
    </w:p>
    <w:p>
      <w:pPr>
        <w:pStyle w:val="FirstParagraph"/>
      </w:pPr>
      <w:r>
        <w:t xml:space="preserve">Despite the successes, several challenges persist:</w:t>
      </w:r>
    </w:p>
    <w:p>
      <w:pPr>
        <w:numPr>
          <w:ilvl w:val="0"/>
          <w:numId w:val="1004"/>
        </w:numPr>
        <w:pStyle w:val="Compact"/>
      </w:pPr>
      <w:r>
        <w:rPr>
          <w:bCs/>
          <w:b/>
        </w:rPr>
        <w:t xml:space="preserve">Reimbursement Structures:</w:t>
      </w:r>
      <w:r>
        <w:t xml:space="preserve"> </w:t>
      </w:r>
      <w:r>
        <w:t xml:space="preserve">While clinical services are increasingly recognized, the reimbursement mechanism for pharmacist time remains complex. Pharmacists often struggle to justify the time spent on counseling within current fee structures.</w:t>
      </w:r>
    </w:p>
    <w:p>
      <w:pPr>
        <w:numPr>
          <w:ilvl w:val="0"/>
          <w:numId w:val="1004"/>
        </w:numPr>
        <w:pStyle w:val="Compact"/>
      </w:pPr>
      <w:r>
        <w:rPr>
          <w:bCs/>
          <w:b/>
        </w:rPr>
        <w:t xml:space="preserve">Digital Fragmentation:</w:t>
      </w:r>
      <w:r>
        <w:t xml:space="preserve"> </w:t>
      </w:r>
      <w:r>
        <w:t xml:space="preserve">The lack of a unified digital identity system across all pharmacy practices in Germany hinders real-time data exchange with Berlin-based clinics.</w:t>
      </w:r>
    </w:p>
    <w:p>
      <w:pPr>
        <w:numPr>
          <w:ilvl w:val="0"/>
          <w:numId w:val="1004"/>
        </w:numPr>
        <w:pStyle w:val="Compact"/>
      </w:pPr>
      <w:r>
        <w:rPr>
          <w:bCs/>
          <w:b/>
        </w:rPr>
        <w:t xml:space="preserve">Professional Identity:</w:t>
      </w:r>
      <w:r>
        <w:t xml:space="preserve"> </w:t>
      </w:r>
      <w:r>
        <w:t xml:space="preserve">Some pharmacists still identify primarily as supply chain managers rather than clinical providers, necessitating further educational reforms in German pharmaceutical faculties.</w:t>
      </w:r>
    </w:p>
    <w:bookmarkEnd w:id="28"/>
    <w:bookmarkStart w:id="29" w:name="recommendations"/>
    <w:p>
      <w:pPr>
        <w:pStyle w:val="Heading3"/>
      </w:pPr>
      <w:r>
        <w:t xml:space="preserve">8. Recommendations</w:t>
      </w:r>
    </w:p>
    <w:p>
      <w:pPr>
        <w:pStyle w:val="FirstParagraph"/>
      </w:pPr>
      <w:r>
        <w:t xml:space="preserve">To fully realize the potential of the</w:t>
      </w:r>
      <w:r>
        <w:t xml:space="preserve"> </w:t>
      </w:r>
      <w:r>
        <w:rPr>
          <w:bCs/>
          <w:b/>
        </w:rPr>
        <w:t xml:space="preserve">Pharmacist</w:t>
      </w:r>
      <w:r>
        <w:t xml:space="preserve"> </w:t>
      </w:r>
      <w:r>
        <w:t xml:space="preserve">in Berlin’s healthcare system, we propose the following actions:</w:t>
      </w:r>
    </w:p>
    <w:p>
      <w:pPr>
        <w:numPr>
          <w:ilvl w:val="0"/>
          <w:numId w:val="1005"/>
        </w:numPr>
        <w:pStyle w:val="Compact"/>
      </w:pPr>
      <w:r>
        <w:rPr>
          <w:bCs/>
          <w:b/>
        </w:rPr>
        <w:t xml:space="preserve">Polycentric Collaboration Models:</w:t>
      </w:r>
      <w:r>
        <w:t xml:space="preserve"> </w:t>
      </w:r>
      <w:r>
        <w:t xml:space="preserve">Establish formal referral pathways between Berlin’s primary care centers and local pharmacies to ensure continuous patient monitoring.</w:t>
      </w:r>
    </w:p>
    <w:p>
      <w:pPr>
        <w:numPr>
          <w:ilvl w:val="0"/>
          <w:numId w:val="1005"/>
        </w:numPr>
        <w:pStyle w:val="Compact"/>
      </w:pPr>
      <w:r>
        <w:rPr>
          <w:bCs/>
          <w:b/>
        </w:rPr>
        <w:t xml:space="preserve">Digital Standardization:</w:t>
      </w:r>
      <w:r>
        <w:t xml:space="preserve"> </w:t>
      </w:r>
      <w:r>
        <w:t xml:space="preserve">Advocate for national interoperability standards that allow seamless data exchange between German electronic health records (ePA) and pharmacy management systems.</w:t>
      </w:r>
    </w:p>
    <w:p>
      <w:pPr>
        <w:numPr>
          <w:ilvl w:val="0"/>
          <w:numId w:val="1005"/>
        </w:numPr>
        <w:pStyle w:val="Compact"/>
      </w:pPr>
      <w:r>
        <w:rPr>
          <w:bCs/>
          <w:b/>
        </w:rPr>
        <w:t xml:space="preserve">Educational Reform:</w:t>
      </w:r>
      <w:r>
        <w:t xml:space="preserve"> </w:t>
      </w:r>
      <w:r>
        <w:t xml:space="preserve">Expand clinical training modules in German universities of pharmacy, focusing on chronic disease management and psychosocial counseling skills.</w:t>
      </w:r>
    </w:p>
    <w:bookmarkEnd w:id="29"/>
    <w:bookmarkStart w:id="30" w:name="conclusion"/>
    <w:p>
      <w:pPr>
        <w:pStyle w:val="Heading3"/>
      </w:pPr>
      <w:r>
        <w:t xml:space="preserve">9. Conclusion</w:t>
      </w:r>
    </w:p>
    <w:p>
      <w:pPr>
        <w:pStyle w:val="FirstParagraph"/>
      </w:pPr>
      <w:r>
        <w:t xml:space="preserve">The role of the pharmacist in Berlin is undergoing a profound transformation. No longer confined to the back room of dispensing, pharmacists are now integral members of interdisciplinary healthcare teams. This</w:t>
      </w:r>
      <w:r>
        <w:t xml:space="preserve"> </w:t>
      </w:r>
      <w:r>
        <w:rPr>
          <w:bCs/>
          <w:b/>
        </w:rPr>
        <w:t xml:space="preserve">Poster Presentation academic</w:t>
      </w:r>
      <w:r>
        <w:t xml:space="preserve"> </w:t>
      </w:r>
      <w:r>
        <w:t xml:space="preserve">review demonstrates that integrating clinical pharmacy services into Berlin’s urban healthcare fabric yields significant benefits for patient outcomes and system efficiency.</w:t>
      </w:r>
    </w:p>
    <w:p>
      <w:pPr>
        <w:pStyle w:val="BodyText"/>
      </w:pPr>
      <w:r>
        <w:t xml:space="preserve">As Germany continues to navigate the complexities of an aging society and digital health integration, the pharmacist stands ready to lead these efforts. The success stories from Berlin serve as a model for other metropolitan areas in Europe seeking to optimize their pharmaceutical care delivery systems.</w:t>
      </w:r>
    </w:p>
    <w:bookmarkEnd w:id="30"/>
    <w:p>
      <w:pPr>
        <w:pStyle w:val="BodyText"/>
      </w:pPr>
      <w:r>
        <w:rPr>
          <w:bCs/>
          <w:b/>
        </w:rPr>
        <w:t xml:space="preserve">Keywords:</w:t>
      </w:r>
      <w:r>
        <w:t xml:space="preserve"> </w:t>
      </w:r>
      <w:r>
        <w:t xml:space="preserve">Pharmacist, Germany Berlin, Clinical Pharmacy, Medication Therapy Management, eHealth, Public Health.</w:t>
      </w:r>
    </w:p>
    <w:p>
      <w:pPr>
        <w:pStyle w:val="BodyText"/>
      </w:pPr>
      <w:r>
        <w:t xml:space="preserve">© 2023 Healthcare Research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Germany Berlin</dc:title>
  <dc:creator/>
  <dc:language>en</dc:language>
  <cp:keywords/>
  <dcterms:created xsi:type="dcterms:W3CDTF">2026-07-29T18:38:05Z</dcterms:created>
  <dcterms:modified xsi:type="dcterms:W3CDTF">2026-07-29T18:38:05Z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