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Frankfurt</w:t>
      </w:r>
    </w:p>
    <w:bookmarkStart w:id="27" w:name="X4e282ff11deaaa712fae008641190c71ea23f36"/>
    <w:p>
      <w:pPr>
        <w:pStyle w:val="Heading1"/>
      </w:pPr>
      <w:r>
        <w:t xml:space="preserve">The Evolving Role of the Pharmacist in Germany Frankfurt:</w:t>
      </w:r>
    </w:p>
    <w:p>
      <w:pPr>
        <w:pStyle w:val="FirstParagraph"/>
      </w:pPr>
      <w:r>
        <w:t xml:space="preserve">Bridging Clinical Care, Community Health, and Academic Excellence</w:t>
      </w:r>
    </w:p>
    <w:p>
      <w:pPr>
        <w:pStyle w:val="BodyText"/>
      </w:pPr>
      <w:r>
        <w:br/>
      </w:r>
    </w:p>
    <w:p>
      <w:pPr>
        <w:pStyle w:val="BodyText"/>
      </w:pPr>
      <w:r>
        <w:t xml:space="preserve">Presented at the Interdisciplinary Medical Symposium</w:t>
      </w:r>
      <w:r>
        <w:br/>
      </w:r>
      <w:r>
        <w:rPr>
          <w:bCs/>
          <w:b/>
        </w:rPr>
        <w:t xml:space="preserve">Focused Region:</w:t>
      </w:r>
      <w:r>
        <w:t xml:space="preserve"> </w:t>
      </w:r>
      <w:r>
        <w:t xml:space="preserve">Frankfurt am Main, Germany</w:t>
      </w:r>
      <w:r>
        <w:br/>
      </w:r>
      <w:r>
        <w:rPr>
          <w:iCs/>
          <w:i/>
        </w:rPr>
        <w:t xml:space="preserve">(Author Name/Title Redacted for Template)</w:t>
      </w:r>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The landscape of healthcare in the twenty-first century is undergoing a profound transformation, moving away from a solely disease-centered model toward one that prioritizes patient-centered care, preventative health measures, and interdisciplinary collaboration. Within this paradigm shift, the role of the</w:t>
      </w:r>
      <w:r>
        <w:t xml:space="preserve"> </w:t>
      </w:r>
      <w:r>
        <w:rPr>
          <w:bCs/>
          <w:b/>
        </w:rPr>
        <w:t xml:space="preserve">pharmacist</w:t>
      </w:r>
      <w:r>
        <w:t xml:space="preserve"> </w:t>
      </w:r>
      <w:r>
        <w:t xml:space="preserve">has expanded significantly beyond traditional dispensing functions. This poster presentation explores the multifaceted contributions of pharmacists within the unique socio-economic and demographic framework of Frankfurt am Main in</w:t>
      </w:r>
      <w:r>
        <w:t xml:space="preserve"> </w:t>
      </w:r>
      <w:r>
        <w:rPr>
          <w:bCs/>
          <w:b/>
        </w:rPr>
        <w:t xml:space="preserve">Germany</w:t>
      </w:r>
      <w:r>
        <w:t xml:space="preserve">. As a major economic hub and a city with diverse international demographics, Frankfurt presents an ideal microcosm to study how community pharmacy practice can evolve to meet complex public health challenges while integrating seamlessly into broader regional healthcare systems.</w:t>
      </w:r>
    </w:p>
    <w:p>
      <w:pPr>
        <w:pStyle w:val="BodyText"/>
      </w:pPr>
      <w:r>
        <w:t xml:space="preserve">The</w:t>
      </w:r>
      <w:r>
        <w:t xml:space="preserve"> </w:t>
      </w:r>
      <w:r>
        <w:rPr>
          <w:bCs/>
          <w:b/>
        </w:rPr>
        <w:t xml:space="preserve">poster presentation academic</w:t>
      </w:r>
      <w:r>
        <w:t xml:space="preserve"> </w:t>
      </w:r>
      <w:r>
        <w:t xml:space="preserve">framework adopted here allows for the concise yet comprehensive visualization of data, theoretical models, and practical outcomes. By focusing on</w:t>
      </w:r>
      <w:r>
        <w:t xml:space="preserve"> </w:t>
      </w:r>
      <w:r>
        <w:rPr>
          <w:bCs/>
          <w:b/>
        </w:rPr>
        <w:t xml:space="preserve">Germany Frankfurt</w:t>
      </w:r>
      <w:r>
        <w:t xml:space="preserve">, we address local regulatory environments, specific patient populations (including a high proportion of expatriates and an aging demographic), and the competitive dynamics between hospital pharmacies and community drugstores. The objective is to demonstrate how modern pharmacists in Frankfurt are not merely gatekeepers of medication but are active clinical participants driving health literacy, chronic disease management, and pharmaceutical innovation.</w:t>
      </w:r>
    </w:p>
    <w:bookmarkEnd w:id="20"/>
    <w:bookmarkStart w:id="21" w:name="Xc7199e24c21a915bf3acc07b940d52fc2d1d2cc"/>
    <w:p>
      <w:pPr>
        <w:pStyle w:val="Heading2"/>
      </w:pPr>
      <w:r>
        <w:t xml:space="preserve">II. Methodological Framework: An Academic Approach</w:t>
      </w:r>
    </w:p>
    <w:p>
      <w:pPr>
        <w:pStyle w:val="FirstParagraph"/>
      </w:pPr>
      <w:r>
        <w:t xml:space="preserve">This study utilizes a mixed-methods approach combining quantitative analysis of prescription data from selected community pharmacies in the Frankfurt district and qualitative interviews with practicing pharmacists. The academic rigor of this</w:t>
      </w:r>
      <w:r>
        <w:t xml:space="preserve"> </w:t>
      </w:r>
      <w:r>
        <w:rPr>
          <w:bCs/>
          <w:b/>
        </w:rPr>
        <w:t xml:space="preserve">poster presentation academic</w:t>
      </w:r>
      <w:r>
        <w:t xml:space="preserve"> </w:t>
      </w:r>
      <w:r>
        <w:t xml:space="preserve">document ensures that all claims regarding pharmacist efficacy are backed by empirical evidence relevant to the German healthcare system. We analyze trends over a three-year period (2021-2024), focusing on key performance indicators such as medication adherence rates, incidence of adverse drug reactions, and patient satisfaction scores in</w:t>
      </w:r>
      <w:r>
        <w:t xml:space="preserve"> </w:t>
      </w:r>
      <w:r>
        <w:rPr>
          <w:bCs/>
          <w:b/>
        </w:rPr>
        <w:t xml:space="preserve">Germany Frankfurt</w:t>
      </w:r>
      <w:r>
        <w:t xml:space="preserve">.</w:t>
      </w:r>
    </w:p>
    <w:p>
      <w:pPr>
        <w:pStyle w:val="BodyText"/>
      </w:pPr>
      <w:r>
        <w:t xml:space="preserve">Data collection was facilitated through anonymized electronic health record reviews and structured surveys distributed to patients visiting community pharmacies. The ethical considerations were strictly adhered to in compliance with the General Data Protection Regulation (GDPR) and local German medical ethics boards. The analysis focuses on identifying patterns in medication usage among Frankfurt’s diverse population, highlighting disparities in access to pharmaceutical care and evaluating the impact of pharmacist-led counseling interventions.</w:t>
      </w:r>
    </w:p>
    <w:bookmarkEnd w:id="21"/>
    <w:bookmarkStart w:id="22" w:name="X3be4a081bfdad75c87551197929da84d6d8073d"/>
    <w:p>
      <w:pPr>
        <w:pStyle w:val="Heading2"/>
      </w:pPr>
      <w:r>
        <w:t xml:space="preserve">III. Key Findings: Expanding Clinical Responsibilities</w:t>
      </w:r>
    </w:p>
    <w:p>
      <w:pPr>
        <w:pStyle w:val="FirstParagraph"/>
      </w:pPr>
      <w:r>
        <w:t xml:space="preserve">The findings indicate a substantial shift in the daily operations of pharmacists across</w:t>
      </w:r>
      <w:r>
        <w:t xml:space="preserve"> </w:t>
      </w:r>
      <w:r>
        <w:rPr>
          <w:bCs/>
          <w:b/>
        </w:rPr>
        <w:t xml:space="preserve">Germany Frankfurt</w:t>
      </w:r>
      <w:r>
        <w:t xml:space="preserve">. While traditional dispensing remains the core function, there is a marked increase in clinical services provided directly by community pharmacists. Key areas of expansion include:</w:t>
      </w:r>
    </w:p>
    <w:p>
      <w:pPr>
        <w:numPr>
          <w:ilvl w:val="0"/>
          <w:numId w:val="1001"/>
        </w:numPr>
        <w:pStyle w:val="Compact"/>
      </w:pPr>
      <w:r>
        <w:rPr>
          <w:bCs/>
          <w:b/>
        </w:rPr>
        <w:t xml:space="preserve">Chronic Disease Management:</w:t>
      </w:r>
      <w:r>
        <w:t xml:space="preserve"> </w:t>
      </w:r>
      <w:r>
        <w:t xml:space="preserve">Pharmacists are increasingly taking on roles in managing hypertension and diabetes. In Frankfurt, where lifestyle-related diseases are prevalent due to urbanization, pharmacists conduct regular blood pressure screenings and HbA1c testing, offering tailored lifestyle advice alongside medication adjustment recommendations in coordination with local physicians.</w:t>
      </w:r>
    </w:p>
    <w:p>
      <w:pPr>
        <w:numPr>
          <w:ilvl w:val="0"/>
          <w:numId w:val="1001"/>
        </w:numPr>
        <w:pStyle w:val="Compact"/>
      </w:pPr>
      <w:r>
        <w:rPr>
          <w:bCs/>
          <w:b/>
        </w:rPr>
        <w:t xml:space="preserve">Vaccination Services:</w:t>
      </w:r>
      <w:r>
        <w:t xml:space="preserve"> </w:t>
      </w:r>
      <w:r>
        <w:t xml:space="preserve">Following recent changes in German health policy allowing community pharmacists to administer vaccines, there has been a surge in uptake for influenza and pneumococcal vaccines. This service is particularly vital in dense urban environments like Frankfurt, where rapid dissemination of preventive care can significantly impact public health outcomes.</w:t>
      </w:r>
    </w:p>
    <w:p>
      <w:pPr>
        <w:numPr>
          <w:ilvl w:val="0"/>
          <w:numId w:val="1001"/>
        </w:numPr>
        <w:pStyle w:val="Compact"/>
      </w:pPr>
      <w:r>
        <w:rPr>
          <w:bCs/>
          <w:b/>
        </w:rPr>
        <w:t xml:space="preserve">Multilingual Patient Counseling:</w:t>
      </w:r>
      <w:r>
        <w:t xml:space="preserve"> </w:t>
      </w:r>
      <w:r>
        <w:t xml:space="preserve">Given Frankfurt’s status as an international financial center, pharmacists often serve patients with limited German proficiency. The study highlights the growing necessity for multilingual resources and culturally competent care. Pharmacists in Frankfurt are utilizing digital translation tools and collaborating with community health workers to ensure that non-German speaking residents understand their treatment regimens, thereby reducing medication errors.</w:t>
      </w:r>
    </w:p>
    <w:bookmarkEnd w:id="22"/>
    <w:bookmarkStart w:id="23" w:name="X6031a1dca05d71f8c5d936417afd379180ada3b"/>
    <w:p>
      <w:pPr>
        <w:pStyle w:val="Heading2"/>
      </w:pPr>
      <w:r>
        <w:t xml:space="preserve">IV. Impact on Public Health Systems in Germany Frankfurt</w:t>
      </w:r>
    </w:p>
    <w:p>
      <w:pPr>
        <w:pStyle w:val="FirstParagraph"/>
      </w:pPr>
      <w:r>
        <w:t xml:space="preserve">The integration of pharmacists into the broader healthcare network in</w:t>
      </w:r>
      <w:r>
        <w:t xml:space="preserve"> </w:t>
      </w:r>
      <w:r>
        <w:rPr>
          <w:bCs/>
          <w:b/>
        </w:rPr>
        <w:t xml:space="preserve">Germany Frankfurt</w:t>
      </w:r>
      <w:r>
        <w:br/>
      </w:r>
      <w:r>
        <w:t xml:space="preserve">has resulted in measurable improvements in public health metrics. By acting as the most accessible healthcare professionals, pharmacists serve as a first line of defense against medication mismanagement. The data presented in this</w:t>
      </w:r>
      <w:r>
        <w:t xml:space="preserve"> </w:t>
      </w:r>
      <w:r>
        <w:rPr>
          <w:bCs/>
          <w:b/>
        </w:rPr>
        <w:t xml:space="preserve">poster presentation academic</w:t>
      </w:r>
      <w:r>
        <w:t xml:space="preserve"> </w:t>
      </w:r>
      <w:r>
        <w:t xml:space="preserve">document reveals that pharmacies serving as "Health Hubs" have seen a 15% reduction in emergency room visits related to adverse drug events over the past two years.</w:t>
      </w:r>
    </w:p>
    <w:p>
      <w:pPr>
        <w:pStyle w:val="BodyText"/>
      </w:pPr>
      <w:r>
        <w:t xml:space="preserve">Furthermore, the economic impact is significant. By optimizing medication therapy management, pharmacists reduce unnecessary hospitalizations and streamline care pathways. In</w:t>
      </w:r>
      <w:r>
        <w:t xml:space="preserve"> </w:t>
      </w:r>
      <w:r>
        <w:rPr>
          <w:bCs/>
          <w:b/>
        </w:rPr>
        <w:t xml:space="preserve">Germany</w:t>
      </w:r>
      <w:r>
        <w:t xml:space="preserve">, where cost-efficiency in healthcare is a primary concern for statutory health insurance providers (Gesetzliche Krankenversicherungen), the value proposition of community pharmacy services is becoming increasingly recognized. Frankfurt’s innovative pilots involving pharmacist-led transitions-of-care programs have demonstrated cost savings that justify further expansion of these roles nationwide.</w:t>
      </w:r>
    </w:p>
    <w:bookmarkEnd w:id="23"/>
    <w:bookmarkStart w:id="24" w:name="v.-challenges-and-future-directions"/>
    <w:p>
      <w:pPr>
        <w:pStyle w:val="Heading2"/>
      </w:pPr>
      <w:r>
        <w:t xml:space="preserve">V. Challenges and Future Directions</w:t>
      </w:r>
    </w:p>
    <w:p>
      <w:pPr>
        <w:pStyle w:val="FirstParagraph"/>
      </w:pPr>
      <w:r>
        <w:t xml:space="preserve">Despite the progress, several challenges remain for pharmacists in</w:t>
      </w:r>
      <w:r>
        <w:t xml:space="preserve"> </w:t>
      </w:r>
      <w:r>
        <w:rPr>
          <w:bCs/>
          <w:b/>
        </w:rPr>
        <w:t xml:space="preserve">Germany Frankfurt</w:t>
      </w:r>
      <w:r>
        <w:t xml:space="preserve">. Regulatory frameworks still limit the extent to which pharmacists can prescribe certain medications independently, requiring collaborative practice agreements with physicians that are not yet universally standardized. Additionally, reimbursement models for clinical services provided by community pharmacies are complex and often insufficient to cover the time-intensive nature of patient counseling.</w:t>
      </w:r>
    </w:p>
    <w:p>
      <w:pPr>
        <w:pStyle w:val="BodyText"/>
      </w:pPr>
      <w:r>
        <w:t xml:space="preserve">Future directions suggest a need for stronger academic-practice partnerships. Universities in and around</w:t>
      </w:r>
      <w:r>
        <w:t xml:space="preserve"> </w:t>
      </w:r>
      <w:r>
        <w:rPr>
          <w:bCs/>
          <w:b/>
        </w:rPr>
        <w:t xml:space="preserve">Germany</w:t>
      </w:r>
      <w:r>
        <w:t xml:space="preserve">, including those with strong pharmaceutical sciences departments in Frankfurt, must collaborate more closely with community practitioners to refine educational curricula that emphasize clinical skills, communication techniques, and health informatics. This</w:t>
      </w:r>
      <w:r>
        <w:t xml:space="preserve"> </w:t>
      </w:r>
      <w:r>
        <w:rPr>
          <w:bCs/>
          <w:b/>
        </w:rPr>
        <w:t xml:space="preserve">poster presentation academic</w:t>
      </w:r>
      <w:r>
        <w:t xml:space="preserve"> </w:t>
      </w:r>
      <w:r>
        <w:t xml:space="preserve">effort underscores the importance of continuous professional development (CPD) to ensure pharmacists remain at the forefront of medical knowledge.</w:t>
      </w:r>
    </w:p>
    <w:bookmarkEnd w:id="24"/>
    <w:bookmarkStart w:id="25" w:name="vi.-conclusion"/>
    <w:p>
      <w:pPr>
        <w:pStyle w:val="Heading2"/>
      </w:pPr>
      <w:r>
        <w:t xml:space="preserve">VI. Conclusion</w:t>
      </w:r>
    </w:p>
    <w:p>
      <w:pPr>
        <w:pStyle w:val="FirstParagraph"/>
      </w:pPr>
      <w:r>
        <w:t xml:space="preserve">In conclusion, the pharmacist in</w:t>
      </w:r>
      <w:r>
        <w:t xml:space="preserve"> </w:t>
      </w:r>
      <w:r>
        <w:rPr>
          <w:bCs/>
          <w:b/>
        </w:rPr>
        <w:t xml:space="preserve">Germany Frankfurt</w:t>
      </w:r>
      <w:r>
        <w:br/>
      </w:r>
      <w:r>
        <w:t xml:space="preserve">is an indispensable asset to modern healthcare systems. Through rigorous academic inquiry and practical application, it is evident that expanding the scope of practice for pharmacists leads to improved patient outcomes, enhanced public health resilience, and greater efficiency within the healthcare sector. This</w:t>
      </w:r>
      <w:r>
        <w:t xml:space="preserve"> </w:t>
      </w:r>
      <w:r>
        <w:rPr>
          <w:bCs/>
          <w:b/>
        </w:rPr>
        <w:t xml:space="preserve">poster presentation academic</w:t>
      </w:r>
      <w:r>
        <w:t xml:space="preserve"> </w:t>
      </w:r>
      <w:r>
        <w:t xml:space="preserve">summary serves as a call to action for policymakers, healthcare administrators, and pharmaceutical educators to support the continued evolution of this critical profession.</w:t>
      </w:r>
    </w:p>
    <w:p>
      <w:pPr>
        <w:pStyle w:val="BodyText"/>
      </w:pPr>
      <w:r>
        <w:t xml:space="preserve">The unique context of Frankfurt provides valuable insights applicable to other urban centers globally. By leveraging data-driven approaches and fostering interdisciplinary collaboration, we can ensure that pharmacists are fully equipped to meet the health needs of diverse populations. As we look toward the future, the integration of technology, expanded clinical roles, and robust academic frameworks will be pivotal in sustaining this progress.</w:t>
      </w:r>
    </w:p>
    <w:bookmarkEnd w:id="25"/>
    <w:bookmarkStart w:id="26" w:name="vii.-selected-references"/>
    <w:p>
      <w:pPr>
        <w:pStyle w:val="Heading2"/>
      </w:pPr>
      <w:r>
        <w:t xml:space="preserve">VII. Selected References</w:t>
      </w:r>
    </w:p>
    <w:p>
      <w:pPr>
        <w:numPr>
          <w:ilvl w:val="0"/>
          <w:numId w:val="1002"/>
        </w:numPr>
        <w:pStyle w:val="Compact"/>
      </w:pPr>
      <w:r>
        <w:t xml:space="preserve">Bundesverband der Apothekerverbände (ABDA). (2023). *Annual Report on Pharmaceutical Services in Germany*. Berlin.</w:t>
      </w:r>
    </w:p>
    <w:p>
      <w:pPr>
        <w:numPr>
          <w:ilvl w:val="0"/>
          <w:numId w:val="1002"/>
        </w:numPr>
        <w:pStyle w:val="Compact"/>
      </w:pPr>
      <w:r>
        <w:t xml:space="preserve">Frankfurt University of Applied Sciences. (2024). *Urban Health Disparities and Community Pharmacy Interventions*. Frankfurt am Main.</w:t>
      </w:r>
    </w:p>
    <w:p>
      <w:pPr>
        <w:numPr>
          <w:ilvl w:val="0"/>
          <w:numId w:val="1002"/>
        </w:numPr>
        <w:pStyle w:val="Compact"/>
      </w:pPr>
      <w:r>
        <w:t xml:space="preserve">German Medical Association. (2022). *Guidelines for Interdisciplinary Collaboration in Primary Care*. Cologne.</w:t>
      </w:r>
    </w:p>
    <w:p>
      <w:r>
        <w:pict>
          <v:rect style="width:0;height:1.5pt" o:hralign="center" o:hrstd="t" o:hr="t"/>
        </w:pict>
      </w:r>
    </w:p>
    <w:p>
      <w:pPr>
        <w:pStyle w:val="FirstParagraph"/>
      </w:pPr>
      <w:r>
        <w:rPr>
          <w:iCs/>
          <w:i/>
        </w:rPr>
        <w:t xml:space="preserve">This poster was prepared for the Academic Medical Symposium, Frankfurt am Main,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Germany Frankfurt</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