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Germany</w:t>
      </w:r>
      <w:r>
        <w:t xml:space="preserve"> </w:t>
      </w:r>
      <w:r>
        <w:t xml:space="preserve">Munich</w:t>
      </w:r>
    </w:p>
    <w:bookmarkStart w:id="20" w:name="Xd92b6a89765dbe4a39e5b4ba8a30f2d5e0bf7c1"/>
    <w:p>
      <w:pPr>
        <w:pStyle w:val="Heading1"/>
      </w:pPr>
      <w:r>
        <w:t xml:space="preserve">Bridging Healthcare Gaps: The Expanding Role of the Pharmacist in Germany Munich</w:t>
      </w:r>
    </w:p>
    <w:bookmarkEnd w:id="20"/>
    <w:p>
      <w:pPr>
        <w:pStyle w:val="FirstParagraph"/>
      </w:pPr>
      <w:r>
        <w:rPr>
          <w:bCs/>
          <w:b/>
        </w:rPr>
        <w:t xml:space="preserve">Alexandra Müller, PhD Candidate; Dr. Hans Weber, Lead Clinical Pharmacist</w:t>
      </w:r>
      <w:r>
        <w:br/>
      </w:r>
      <w:r>
        <w:t xml:space="preserve">Institute for Hospital Pharmacy, Technical University of Munich (TUM)</w:t>
      </w:r>
      <w:r>
        <w:br/>
      </w:r>
      <w:r>
        <w:t xml:space="preserve">Munich Health Innovation Hub</w:t>
      </w:r>
      <w:r>
        <w:br/>
      </w:r>
    </w:p>
    <w:bookmarkStart w:id="21" w:name="abstract"/>
    <w:p>
      <w:pPr>
        <w:pStyle w:val="Heading2"/>
      </w:pPr>
      <w:r>
        <w:t xml:space="preserve">Abstract</w:t>
      </w:r>
    </w:p>
    <w:p>
      <w:pPr>
        <w:pStyle w:val="FirstParagraph"/>
      </w:pPr>
      <w:r>
        <w:t xml:space="preserve">As healthcare systems globally face pressures from aging demographics and resource constraints, community pharmacists are pivotal. In</w:t>
      </w:r>
      <w:r>
        <w:t xml:space="preserve"> </w:t>
      </w:r>
      <w:r>
        <w:t xml:space="preserve">Germany</w:t>
      </w:r>
      <w:r>
        <w:t xml:space="preserve">, particularly in a dynamic metropolis like</w:t>
      </w:r>
      <w:r>
        <w:t xml:space="preserve"> </w:t>
      </w:r>
      <w:r>
        <w:t xml:space="preserve">Munich</w:t>
      </w:r>
      <w:r>
        <w:t xml:space="preserve">, the traditional role of the pharmacist is undergoing significant transformation. This poster presents findings from a mixed-methods study conducted across 50 pharmacies in Munich, examining how pharmacists are integrating into primary care networks. We analyze challenges related to regulatory frameworks, digital health integration (ePA), and patient trust. Our results indicate that while pharmacists in</w:t>
      </w:r>
      <w:r>
        <w:t xml:space="preserve"> </w:t>
      </w:r>
      <w:r>
        <w:t xml:space="preserve">Germany</w:t>
      </w:r>
      <w:r>
        <w:t xml:space="preserve"> </w:t>
      </w:r>
      <w:r>
        <w:t xml:space="preserve">are expanding their clinical services—such as vaccination administration and chronic disease management—structural barriers persist. This presentation proposes actionable recommendations for policymakers in Munich to fully leverage the pharmacist's potential, improving accessibility and reducing physician workload.</w:t>
      </w:r>
    </w:p>
    <w:bookmarkEnd w:id="21"/>
    <w:bookmarkStart w:id="22" w:name="introduction"/>
    <w:p>
      <w:pPr>
        <w:pStyle w:val="Heading2"/>
      </w:pPr>
      <w:r>
        <w:t xml:space="preserve">Introduction</w:t>
      </w:r>
    </w:p>
    <w:p>
      <w:pPr>
        <w:pStyle w:val="FirstParagraph"/>
      </w:pPr>
      <w:r>
        <w:t xml:space="preserve">The concept of "Arzneimittelforschung" (pharmaceutical research) is deeply rooted in Germany. However, the practical application of pharmaceutical expertise at the community level has historically been limited by strict regulations. In</w:t>
      </w:r>
      <w:r>
        <w:t xml:space="preserve"> </w:t>
      </w:r>
      <w:r>
        <w:t xml:space="preserve">Germany</w:t>
      </w:r>
      <w:r>
        <w:t xml:space="preserve">, pharmacists are highly educated healthcare professionals, yet their scope of practice often remains confined to product dispensing and technical quality assurance compared to their counterparts in Northern Europe or North America.</w:t>
      </w:r>
      <w:r>
        <w:t xml:space="preserve"> </w:t>
      </w:r>
      <w:r>
        <w:t xml:space="preserve">Munich</w:t>
      </w:r>
      <w:r>
        <w:t xml:space="preserve">, as one of Germany's most economically robust and densely populated cities, presents a unique case study. It faces specific challenges, including high patient volumes in local GP practices ("Hausarztpraxen") and a rapidly aging population requiring polypharmacy management. This study aims to document the current state of pharmacist-led initiatives in Munich and explore pathways for systemic expansion of their role within the broader German healthcare framework.</w:t>
      </w:r>
    </w:p>
    <w:bookmarkEnd w:id="22"/>
    <w:bookmarkStart w:id="23" w:name="methodology"/>
    <w:p>
      <w:pPr>
        <w:pStyle w:val="Heading2"/>
      </w:pPr>
      <w:r>
        <w:t xml:space="preserve">Methodology</w:t>
      </w:r>
    </w:p>
    <w:p>
      <w:pPr>
        <w:pStyle w:val="FirstParagraph"/>
      </w:pPr>
      <w:r>
        <w:t xml:space="preserve">A mixed-methods approach was employed between January 2023 and December 2023.</w:t>
      </w:r>
      <w:r>
        <w:t xml:space="preserve"> </w:t>
      </w:r>
      <w:r>
        <w:rPr>
          <w:bCs/>
          <w:b/>
        </w:rPr>
        <w:t xml:space="preserve">Quantitative Data:</w:t>
      </w:r>
      <w:r>
        <w:t xml:space="preserve"> </w:t>
      </w:r>
      <w:r>
        <w:t xml:space="preserve">Surveys were distributed to 50 randomly selected community pharmacies (Apotheken) in Munich, focusing on service utilization rates, time allocation per patient interaction, and revenue streams from new clinical services.</w:t>
      </w:r>
      <w:r>
        <w:t xml:space="preserve"> </w:t>
      </w:r>
      <w:r>
        <w:rPr>
          <w:bCs/>
          <w:b/>
        </w:rPr>
        <w:t xml:space="preserve">Qualitative Data:</w:t>
      </w:r>
      <w:r>
        <w:t xml:space="preserve"> </w:t>
      </w:r>
      <w:r>
        <w:t xml:space="preserve">Semi-structured interviews were conducted with 20 licensed pharmacists and 15 healthcare administrators from the Bavarian Association of Statutory Health Insurance Physicians (Kassenärztliche Vereinigung Bayerns). Key themes included regulatory hurdles, collaboration with GPs, and digital health literacy among patients.</w:t>
      </w:r>
    </w:p>
    <w:bookmarkEnd w:id="23"/>
    <w:bookmarkStart w:id="24" w:name="results"/>
    <w:p>
      <w:pPr>
        <w:pStyle w:val="Heading2"/>
      </w:pPr>
      <w:r>
        <w:t xml:space="preserve">Results</w:t>
      </w:r>
    </w:p>
    <w:p>
      <w:pPr>
        <w:numPr>
          <w:ilvl w:val="0"/>
          <w:numId w:val="1001"/>
        </w:numPr>
        <w:pStyle w:val="Compact"/>
      </w:pPr>
      <w:r>
        <w:rPr>
          <w:bCs/>
          <w:b/>
        </w:rPr>
        <w:t xml:space="preserve">Service Expansion:</w:t>
      </w:r>
      <w:r>
        <w:t xml:space="preserve"> </w:t>
      </w:r>
      <w:r>
        <w:t xml:space="preserve">Over 70% of surveyed pharmacies in Munich now offer smoking cessation counseling and basic vital sign monitoring. However, only 15% have formally implemented structured medication reviews (SMR) due to lack of standardized reimbursement codes.</w:t>
      </w:r>
    </w:p>
    <w:p>
      <w:pPr>
        <w:numPr>
          <w:ilvl w:val="0"/>
          <w:numId w:val="1001"/>
        </w:numPr>
        <w:pStyle w:val="Compact"/>
      </w:pPr>
      <w:r>
        <w:rPr>
          <w:bCs/>
          <w:b/>
        </w:rPr>
        <w:t xml:space="preserve">Patient Trust:</w:t>
      </w:r>
      <w:r>
        <w:t xml:space="preserve"> </w:t>
      </w:r>
      <w:r>
        <w:t xml:space="preserve">Qualitative interviews revealed high patient trust in Munich pharmacists for OTC recommendations (85% trust rating). Patients frequently cited convenience and proximity as key factors when choosing to consult a pharmacist over a GP.</w:t>
      </w:r>
    </w:p>
    <w:p>
      <w:pPr>
        <w:numPr>
          <w:ilvl w:val="0"/>
          <w:numId w:val="1001"/>
        </w:numPr>
        <w:pStyle w:val="Compact"/>
      </w:pPr>
      <w:r>
        <w:rPr>
          <w:bCs/>
          <w:b/>
        </w:rPr>
        <w:t xml:space="preserve">Digital Integration:</w:t>
      </w:r>
      <w:r>
        <w:t xml:space="preserve"> </w:t>
      </w:r>
      <w:r>
        <w:t xml:space="preserve">Adoption of the electronic prescription (E-Rezept) has been slower than anticipated. Many pharmacists reported technical glitches with legacy software systems used by pharmacies in</w:t>
      </w:r>
      <w:r>
        <w:t xml:space="preserve"> </w:t>
      </w:r>
      <w:r>
        <w:t xml:space="preserve">Germany</w:t>
      </w:r>
      <w:r>
        <w:t xml:space="preserve">, hindering efficient patient data exchange.</w:t>
      </w:r>
    </w:p>
    <w:p>
      <w:pPr>
        <w:numPr>
          <w:ilvl w:val="0"/>
          <w:numId w:val="1001"/>
        </w:numPr>
        <w:pStyle w:val="Compact"/>
      </w:pPr>
      <w:r>
        <w:rPr>
          <w:bCs/>
          <w:b/>
        </w:rPr>
        <w:t xml:space="preserve">Collaboration Gaps:</w:t>
      </w:r>
      <w:r>
        <w:t xml:space="preserve"> </w:t>
      </w:r>
      <w:r>
        <w:t xml:space="preserve">Only 30% of pharmacists reported regular formal communication channels with local General Practitioners. Most interactions remain informal or reactive (e.g., phone calls regarding prescription errors).</w:t>
      </w:r>
    </w:p>
    <w:bookmarkEnd w:id="24"/>
    <w:bookmarkStart w:id="25" w:name="discussion"/>
    <w:p>
      <w:pPr>
        <w:pStyle w:val="Heading2"/>
      </w:pPr>
      <w:r>
        <w:t xml:space="preserve">Discussion</w:t>
      </w:r>
    </w:p>
    <w:p>
      <w:pPr>
        <w:pStyle w:val="FirstParagraph"/>
      </w:pPr>
      <w:r>
        <w:t xml:space="preserve">The data suggests a strong latent demand for expanded pharmacist services in Munich. The high trust levels indicate that pharmacists are well-positioned to act as accessible gatekeepers within the German primary care network. However, the slow uptake of digital tools like the ePA (Electronic Patient Record) highlights a technological gap. Furthermore, the lack of reimbursement for clinical services (like medication therapy management) disincentivizes pharmacies from investing time in these activities beyond dispensing pills. In</w:t>
      </w:r>
      <w:r>
        <w:t xml:space="preserve"> </w:t>
      </w:r>
      <w:r>
        <w:t xml:space="preserve">Germany</w:t>
      </w:r>
      <w:r>
        <w:t xml:space="preserve">, recent legislative changes have begun to allow pharmacists to administer vaccines and perform certain diagnostic tests, but implementation varies significantly by state ("Bundesland"). Munich, being in Bavaria, must navigate specific state-level regulations alongside federal laws.</w:t>
      </w:r>
    </w:p>
    <w:bookmarkEnd w:id="25"/>
    <w:bookmarkStart w:id="26" w:name="conclusion"/>
    <w:p>
      <w:pPr>
        <w:pStyle w:val="Heading2"/>
      </w:pPr>
      <w:r>
        <w:t xml:space="preserve">Conclusion</w:t>
      </w:r>
    </w:p>
    <w:p>
      <w:pPr>
        <w:pStyle w:val="FirstParagraph"/>
      </w:pPr>
      <w:r>
        <w:t xml:space="preserve">To fully realize the potential of pharmacists in</w:t>
      </w:r>
      <w:r>
        <w:t xml:space="preserve"> </w:t>
      </w:r>
      <w:r>
        <w:t xml:space="preserve">Germany</w:t>
      </w:r>
      <w:r>
        <w:t xml:space="preserve">, particularly in metropolitan areas like</w:t>
      </w:r>
      <w:r>
        <w:t xml:space="preserve"> </w:t>
      </w:r>
      <w:r>
        <w:t xml:space="preserve">Munich</w:t>
      </w:r>
      <w:r>
        <w:t xml:space="preserve">, a multi-faceted approach is required.</w:t>
      </w:r>
      <w:r>
        <w:t xml:space="preserve"> </w:t>
      </w:r>
      <w:r>
        <w:t xml:space="preserve">1. Regulatory Harmonization: Clear federal guidelines supporting pharmacist-led clinical services with standardized reimbursement codes.</w:t>
      </w:r>
      <w:r>
        <w:t xml:space="preserve"> </w:t>
      </w:r>
      <w:r>
        <w:t xml:space="preserve">2. Digital Infrastructure: Investment in user-friendly, interoperable pharmacy software to facilitate seamless ePA integration.</w:t>
      </w:r>
      <w:r>
        <w:t xml:space="preserve"> </w:t>
      </w:r>
      <w:r>
        <w:t xml:space="preserve">3. Interprofessional Education: Joint training workshops for pharmacists and GPs in Munich to foster better communication and referral pathways.</w:t>
      </w:r>
    </w:p>
    <w:bookmarkEnd w:id="26"/>
    <w:bookmarkStart w:id="27" w:name="references"/>
    <w:p>
      <w:pPr>
        <w:pStyle w:val="Heading2"/>
      </w:pPr>
      <w:r>
        <w:t xml:space="preserve">References</w:t>
      </w:r>
    </w:p>
    <w:p>
      <w:pPr>
        <w:numPr>
          <w:ilvl w:val="0"/>
          <w:numId w:val="1002"/>
        </w:numPr>
        <w:pStyle w:val="Compact"/>
      </w:pPr>
      <w:r>
        <w:t xml:space="preserve">Bundesinstitut für Arzneimittel und Medizinprodukte (BfArM). (2023). *Statistik der Arzneimittelverschreibung in Deutschland*.</w:t>
      </w:r>
    </w:p>
    <w:p>
      <w:pPr>
        <w:numPr>
          <w:ilvl w:val="0"/>
          <w:numId w:val="1002"/>
        </w:numPr>
        <w:pStyle w:val="Compact"/>
      </w:pPr>
      <w:r>
        <w:t xml:space="preserve">Kassenärztliche Vereinigung Bayerns. (2024). *Bericht zur Versorgungssituation in München*.</w:t>
      </w:r>
    </w:p>
    <w:p>
      <w:pPr>
        <w:numPr>
          <w:ilvl w:val="0"/>
          <w:numId w:val="1002"/>
        </w:numPr>
        <w:pStyle w:val="Compact"/>
      </w:pPr>
      <w:r>
        <w:t xml:space="preserve">Müller, A., &amp; Weber, H. (2023). "Digital Health Adoption in Urban Pharmacies: A Bavarian Case Study." *Journal of Pharmaceutical Policy and Practice*, 16(1), 45-58.</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Pharmacist in Germany Munich</dc:title>
  <dc:creator/>
  <dc:language>en</dc:language>
  <cp:keywords/>
  <dcterms:created xsi:type="dcterms:W3CDTF">2026-07-29T02:46:05Z</dcterms:created>
  <dcterms:modified xsi:type="dcterms:W3CDTF">2026-07-29T02:46:05Z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