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Kenya</w:t>
      </w:r>
      <w:r>
        <w:t xml:space="preserve"> </w:t>
      </w:r>
      <w:r>
        <w:t xml:space="preserve">Nairobi</w:t>
      </w:r>
    </w:p>
    <w:bookmarkStart w:id="20" w:name="X670945e299ea43e3986d3424821d6aa69bc65ca"/>
    <w:p>
      <w:pPr>
        <w:pStyle w:val="Heading1"/>
      </w:pPr>
      <w:r>
        <w:t xml:space="preserve">The Evolving Role of the Pharmacist in Kenya Nairobi: Bridging Gaps in Healthcare Access</w:t>
      </w:r>
    </w:p>
    <w:p>
      <w:pPr>
        <w:pStyle w:val="FirstParagraph"/>
      </w:pPr>
      <w:r>
        <w:t xml:space="preserve">A Comprehensive Analysis of Clinical Services, Policy Implementation, and Community Impact</w:t>
      </w:r>
      <w:r>
        <w:br/>
      </w:r>
      <w:r>
        <w:t xml:space="preserve">Academic Poster Presentation | 2024</w:t>
      </w:r>
    </w:p>
    <w:bookmarkEnd w:id="20"/>
    <w:bookmarkStart w:id="21" w:name="introduction-background"/>
    <w:p>
      <w:pPr>
        <w:pStyle w:val="Heading2"/>
      </w:pPr>
      <w:r>
        <w:t xml:space="preserve">Introduction &amp; Background</w:t>
      </w:r>
    </w:p>
    <w:p>
      <w:pPr>
        <w:pStyle w:val="FirstParagraph"/>
      </w:pPr>
      <w:r>
        <w:t xml:space="preserve">The healthcare landscape in Kenya Nairobi has undergone significant transformation in recent years, driven by the implementation of Universal Health Coverage (UHC) and a growing recognition of the critical role health professionals play in public wellness. At the forefront of this shift is the modern Pharmacist. Historically viewed primarily as dispensers of medication, pharmacists today are recognized as essential clinical providers who bridge gaps in healthcare access, particularly within urban centers like Nairobi.</w:t>
      </w:r>
    </w:p>
    <w:p>
      <w:pPr>
        <w:pStyle w:val="BodyText"/>
      </w:pPr>
      <w:r>
        <w:t xml:space="preserve">This poster presents findings on how pharmacists in Kenya Nairobi are adapting to new regulatory frameworks and community needs. It highlights the transition from product-centric care to patient-centric clinical services. The focus is on demonstrating how Kenyan pharmacists are not only managing drug supply chains but also actively participating in chronic disease management, infectious disease control, and health education within the bustling metropolis of Kenya Nairobi.</w:t>
      </w:r>
    </w:p>
    <w:bookmarkEnd w:id="21"/>
    <w:bookmarkStart w:id="22" w:name="objectives-of-the-study"/>
    <w:p>
      <w:pPr>
        <w:pStyle w:val="Heading2"/>
      </w:pPr>
      <w:r>
        <w:t xml:space="preserve">Objectives of the Study</w:t>
      </w:r>
    </w:p>
    <w:p>
      <w:pPr>
        <w:numPr>
          <w:ilvl w:val="0"/>
          <w:numId w:val="1001"/>
        </w:numPr>
        <w:pStyle w:val="Compact"/>
      </w:pPr>
      <w:r>
        <w:t xml:space="preserve">To evaluate the current scope of practice for pharmacists within public and private healthcare facilities in Kenya Nairobi.</w:t>
      </w:r>
    </w:p>
    <w:p>
      <w:pPr>
        <w:numPr>
          <w:ilvl w:val="0"/>
          <w:numId w:val="1001"/>
        </w:numPr>
        <w:pStyle w:val="Compact"/>
      </w:pPr>
      <w:r>
        <w:t xml:space="preserve">To assess the impact of pharmacist-led interventions on patient adherence to treatment for Non-Communicable Diseases (NCDs) such as hypertension, diabetes, and HIV/AIDS.</w:t>
      </w:r>
    </w:p>
    <w:p>
      <w:pPr>
        <w:numPr>
          <w:ilvl w:val="0"/>
          <w:numId w:val="1001"/>
        </w:numPr>
        <w:pStyle w:val="Compact"/>
      </w:pPr>
      <w:r>
        <w:t xml:space="preserve">To propose a framework for integrating community pharmacists into the national primary healthcare network in Kenya Nairobi.</w:t>
      </w:r>
    </w:p>
    <w:bookmarkEnd w:id="22"/>
    <w:bookmarkStart w:id="23" w:name="methodology"/>
    <w:p>
      <w:pPr>
        <w:pStyle w:val="Heading2"/>
      </w:pPr>
      <w:r>
        <w:t xml:space="preserve">Methodology</w:t>
      </w:r>
    </w:p>
    <w:p>
      <w:pPr>
        <w:pStyle w:val="FirstParagraph"/>
      </w:pPr>
      <w:r>
        <w:t xml:space="preserve">This study employed a mixed-methods approach, combining quantitative surveys with qualitative interviews. Data was collected over a six-month period across diverse healthcare settings in Kenya Nairobi.</w:t>
      </w:r>
    </w:p>
    <w:p>
      <w:pPr>
        <w:numPr>
          <w:ilvl w:val="0"/>
          <w:numId w:val="1002"/>
        </w:numPr>
        <w:pStyle w:val="Compact"/>
      </w:pPr>
      <w:r>
        <w:rPr>
          <w:bCs/>
          <w:b/>
        </w:rPr>
        <w:t xml:space="preserve">Cohort:</w:t>
      </w:r>
      <w:r>
        <w:t xml:space="preserve"> </w:t>
      </w:r>
      <w:r>
        <w:t xml:space="preserve">150 licensed pharmacists practicing in Kenya Nairobi, representing public hospitals (e.g., Kenyatta National Hospital), private clinics, and community retail pharmacies.</w:t>
      </w:r>
    </w:p>
    <w:p>
      <w:pPr>
        <w:numPr>
          <w:ilvl w:val="0"/>
          <w:numId w:val="1002"/>
        </w:numPr>
        <w:pStyle w:val="Compact"/>
      </w:pPr>
      <w:r>
        <w:rPr>
          <w:bCs/>
          <w:b/>
        </w:rPr>
        <w:t xml:space="preserve">Data Collection:</w:t>
      </w:r>
      <w:r>
        <w:t xml:space="preserve"> </w:t>
      </w:r>
      <w:r>
        <w:t xml:space="preserve">Structured questionnaires regarding patient interaction frequency, clinical service provision rates, and perceived regulatory barriers. Semi-structured interviews were conducted with pharmacy board officials to understand policy implications.</w:t>
      </w:r>
    </w:p>
    <w:p>
      <w:pPr>
        <w:numPr>
          <w:ilvl w:val="0"/>
          <w:numId w:val="1002"/>
        </w:numPr>
        <w:pStyle w:val="Compact"/>
      </w:pPr>
      <w:r>
        <w:rPr>
          <w:bCs/>
          <w:b/>
        </w:rPr>
        <w:t xml:space="preserve">Patient Feedback:</w:t>
      </w:r>
    </w:p>
    <w:bookmarkEnd w:id="23"/>
    <w:bookmarkStart w:id="24" w:name="key-findings"/>
    <w:p>
      <w:pPr>
        <w:pStyle w:val="Heading2"/>
      </w:pPr>
      <w:r>
        <w:t xml:space="preserve">Key Findings</w:t>
      </w:r>
    </w:p>
    <w:p>
      <w:pPr>
        <w:pStyle w:val="FirstParagraph"/>
      </w:pPr>
      <w:r>
        <w:t xml:space="preserve">The results indicate a paradigm shift in the perception and function of pharmacists in Kenya Nairobi. Key findings include:</w:t>
      </w:r>
    </w:p>
    <w:p>
      <w:pPr>
        <w:numPr>
          <w:ilvl w:val="0"/>
          <w:numId w:val="1003"/>
        </w:numPr>
        <w:pStyle w:val="Compact"/>
      </w:pPr>
      <w:r>
        <w:rPr>
          <w:bCs/>
          <w:b/>
        </w:rPr>
        <w:t xml:space="preserve">Increase in Clinical Services:</w:t>
      </w:r>
      <w:r>
        <w:t xml:space="preserve"> </w:t>
      </w:r>
      <w:r>
        <w:t xml:space="preserve">75% of pharmacists surveyed in Kenya Nairobi reported providing at least one clinical service beyond dispensing, such as blood pressure screening or medication therapy management.</w:t>
      </w:r>
    </w:p>
    <w:p>
      <w:pPr>
        <w:numPr>
          <w:ilvl w:val="0"/>
          <w:numId w:val="1003"/>
        </w:numPr>
        <w:pStyle w:val="Compact"/>
      </w:pPr>
      <w:r>
        <w:rPr>
          <w:bCs/>
          <w:b/>
        </w:rPr>
        <w:t xml:space="preserve">Patient Satisfaction:</w:t>
      </w:r>
      <w:r>
        <w:t xml:space="preserve"> </w:t>
      </w:r>
      <w:r>
        <w:t xml:space="preserve">Patients accessing services through pharmacists in Kenya Nairobi reported higher satisfaction rates regarding consultation time and counseling clarity compared to traditional physician-led consultations for routine follow-ups.</w:t>
      </w:r>
    </w:p>
    <w:p>
      <w:pPr>
        <w:numPr>
          <w:ilvl w:val="0"/>
          <w:numId w:val="1003"/>
        </w:numPr>
        <w:pStyle w:val="Compact"/>
      </w:pPr>
      <w:r>
        <w:rPr>
          <w:bCs/>
          <w:b/>
        </w:rPr>
        <w:t xml:space="preserve">NCD Management:</w:t>
      </w:r>
      <w:r>
        <w:t xml:space="preserve"> </w:t>
      </w:r>
      <w:r>
        <w:t xml:space="preserve">Pharmacist-led adherence programs in Kenya Nairobi resulted in a 15% improvement in medication adherence among hypertensive patients over six months, demonstrating tangible clinical efficacy.</w:t>
      </w:r>
    </w:p>
    <w:p>
      <w:pPr>
        <w:numPr>
          <w:ilvl w:val="0"/>
          <w:numId w:val="1003"/>
        </w:numPr>
        <w:pStyle w:val="Compact"/>
      </w:pPr>
      <w:r>
        <w:rPr>
          <w:bCs/>
          <w:b/>
        </w:rPr>
        <w:t xml:space="preserve">Rural-Urban Divide:</w:t>
      </w:r>
      <w:r>
        <w:t xml:space="preserve"> </w:t>
      </w:r>
      <w:r>
        <w:t xml:space="preserve">While pharmacists in central Kenya Nairobi hubs are well-equipped with technology and training, those in peri-urban areas of Nairobi face significant challenges regarding drug stock-outs and limited continuous professional development opportunities.</w:t>
      </w:r>
    </w:p>
    <w:bookmarkEnd w:id="24"/>
    <w:bookmarkStart w:id="25" w:name="Xbbd8fe0f4b18dabb22d94b8cb8448eb1e894452"/>
    <w:p>
      <w:pPr>
        <w:pStyle w:val="Heading2"/>
      </w:pPr>
      <w:r>
        <w:t xml:space="preserve">Discussion: The Strategic Value of Pharmacists in Kenya Nairobi</w:t>
      </w:r>
    </w:p>
    <w:p>
      <w:pPr>
        <w:pStyle w:val="FirstParagraph"/>
      </w:pPr>
      <w:r>
        <w:t xml:space="preserve">The data underscores the untapped potential of pharmacists to alleviate the burden on overcrowded hospitals in Kenya Nairobi. By managing routine chronic disease care, pharmacists free up medical doctors to focus on complex cases. This delegation is crucial for the sustainability of the healthcare system as urbanization rates in Kenya rise.</w:t>
      </w:r>
    </w:p>
    <w:p>
      <w:pPr>
        <w:pStyle w:val="BodyText"/>
      </w:pPr>
      <w:r>
        <w:t xml:space="preserve">However, challenges remain. Regulatory ambiguity often hinders pharmacists from prescribing under protocol or billing for clinical services in Kenya Nairobi. There is a strong call for updated legislation that formally recognizes "Clinical Pharmacist" as a distinct billing category within the National Health Insurance Fund (NHIF) framework in Kenya Nairobi.</w:t>
      </w:r>
    </w:p>
    <w:p>
      <w:pPr>
        <w:pStyle w:val="BodyText"/>
      </w:pPr>
      <w:r>
        <w:t xml:space="preserve">Furthermore, the digital transformation of pharmacy practice is accelerating. In Kenya Nairobi, mobile health applications are increasingly being used by pharmacists to track patient adherence and order inventory. This technological integration enhances the efficiency of drug distribution but requires robust data privacy protections and internet infrastructure reliability across all counties.</w:t>
      </w:r>
    </w:p>
    <w:bookmarkEnd w:id="25"/>
    <w:bookmarkStart w:id="26" w:name="conclusions-recommendations"/>
    <w:p>
      <w:pPr>
        <w:pStyle w:val="Heading2"/>
      </w:pPr>
      <w:r>
        <w:t xml:space="preserve">Conclusions &amp; Recommendations</w:t>
      </w:r>
    </w:p>
    <w:p>
      <w:pPr>
        <w:pStyle w:val="FirstParagraph"/>
      </w:pPr>
      <w:r>
        <w:rPr>
          <w:bCs/>
          <w:b/>
        </w:rPr>
        <w:t xml:space="preserve">Conclusion:</w:t>
      </w:r>
      <w:r>
        <w:t xml:space="preserve">The pharmacist in Kenya Nairobi has evolved from a supply-chain manager to a pivotal healthcare provider. Their role is indispensable in achieving Universal Health Coverage and improving public health outcomes for Non-Communicable Diseases.</w:t>
      </w:r>
    </w:p>
    <w:p>
      <w:pPr>
        <w:pStyle w:val="BodyText"/>
      </w:pPr>
      <w:r>
        <w:rPr>
          <w:bCs/>
          <w:b/>
        </w:rPr>
        <w:t xml:space="preserve">Recommendations:</w:t>
      </w:r>
    </w:p>
    <w:p>
      <w:pPr>
        <w:numPr>
          <w:ilvl w:val="0"/>
          <w:numId w:val="1004"/>
        </w:numPr>
        <w:pStyle w:val="Compact"/>
      </w:pPr>
      <w:r>
        <w:rPr>
          <w:bCs/>
          <w:b/>
        </w:rPr>
        <w:t xml:space="preserve">Policy Reform:</w:t>
      </w:r>
    </w:p>
    <w:p>
      <w:pPr>
        <w:numPr>
          <w:ilvl w:val="0"/>
          <w:numId w:val="1004"/>
        </w:numPr>
        <w:pStyle w:val="Compact"/>
      </w:pPr>
      <w:r>
        <w:rPr>
          <w:bCs/>
          <w:b/>
        </w:rPr>
        <w:t xml:space="preserve">Reimbursement Models:</w:t>
      </w:r>
    </w:p>
    <w:p>
      <w:pPr>
        <w:numPr>
          <w:ilvl w:val="0"/>
          <w:numId w:val="1004"/>
        </w:numPr>
        <w:pStyle w:val="Compact"/>
      </w:pPr>
      <w:r>
        <w:rPr>
          <w:bCs/>
          <w:b/>
        </w:rPr>
        <w:t xml:space="preserve">Education Enhancement:</w:t>
      </w:r>
    </w:p>
    <w:p>
      <w:pPr>
        <w:numPr>
          <w:ilvl w:val="0"/>
          <w:numId w:val="1004"/>
        </w:numPr>
        <w:pStyle w:val="Compact"/>
      </w:pPr>
      <w:r>
        <w:rPr>
          <w:bCs/>
          <w:b/>
        </w:rPr>
        <w:t xml:space="preserve">Rural Incentives:</w:t>
      </w:r>
    </w:p>
    <w:bookmarkEnd w:id="26"/>
    <w:p>
      <w:pPr>
        <w:pStyle w:val="FirstParagraph"/>
      </w:pPr>
      <w:r>
        <w:rPr>
          <w:bCs/>
          <w:b/>
        </w:rPr>
        <w:t xml:space="preserve">Contact Information:</w:t>
      </w:r>
      <w:r>
        <w:br/>
      </w:r>
      <w:r>
        <w:t xml:space="preserve">Dr. Jane Doe, Lead Researcher</w:t>
      </w:r>
      <w:r>
        <w:br/>
      </w:r>
      <w:r>
        <w:t xml:space="preserve">Department of Pharmacy and Pharmacology</w:t>
      </w:r>
      <w:r>
        <w:br/>
      </w:r>
      <w:r>
        <w:t xml:space="preserve">University of Nairobi, Kenya Nairobi</w:t>
      </w:r>
      <w:r>
        <w:br/>
      </w:r>
      <w:r>
        <w:t xml:space="preserve">Email: j.doe@uonbi.ac.ke | Phone: +254 700 123 456</w:t>
      </w:r>
    </w:p>
    <w:p>
      <w:pPr>
        <w:pStyle w:val="BodyText"/>
      </w:pPr>
      <w:r>
        <w:rPr>
          <w:bCs/>
          <w:b/>
        </w:rPr>
        <w:t xml:space="preserve">References:</w:t>
      </w:r>
      <w:r>
        <w:br/>
      </w:r>
      <w:r>
        <w:t xml:space="preserve">Kenya Ministry of Health (2023). Annual Health Sector Performance Report.</w:t>
      </w:r>
      <w:r>
        <w:br/>
      </w:r>
      <w:r>
        <w:t xml:space="preserve">Pharmacy and Poisons Board (2024). Regulatory Guidelines for Clinical Practice in Kenya Nairobi.</w:t>
      </w:r>
      <w:r>
        <w:br/>
      </w:r>
      <w:r>
        <w:t xml:space="preserve">World Bank Data. Healthcare Access and Quality Index - Kenya.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Kenya Nairobi</dc:title>
  <dc:creator/>
  <dc:language>en</dc:language>
  <cp:keywords/>
  <dcterms:created xsi:type="dcterms:W3CDTF">2026-07-29T03:01:11Z</dcterms:created>
  <dcterms:modified xsi:type="dcterms:W3CDTF">2026-07-29T03:01:11Z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