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Xaa0ca8649abdf69415ad02c08d998f10bac3902"/>
    <w:p>
      <w:pPr>
        <w:pStyle w:val="Heading1"/>
      </w:pPr>
      <w:r>
        <w:t xml:space="preserve">Bridging Clinical Care and Community Health:</w:t>
      </w:r>
    </w:p>
    <w:bookmarkStart w:id="20" w:name="X3fb78d1823169766f08e7ddfb3106ed12d82940"/>
    <w:p>
      <w:pPr>
        <w:pStyle w:val="Heading2"/>
      </w:pPr>
      <w:r>
        <w:t xml:space="preserve">The Transformative Role of the Pharmacist in Malaysia Kuala Lumpur</w:t>
      </w:r>
    </w:p>
    <w:p>
      <w:pPr>
        <w:pStyle w:val="FirstParagraph"/>
      </w:pPr>
      <w:r>
        <w:t xml:space="preserve">Prepared for Academic Poster Presentation | Target Audience: Healthcare Policymakers &amp; Clinicians in Kuala Lumpur</w:t>
      </w:r>
    </w:p>
    <w:bookmarkEnd w:id="20"/>
    <w:bookmarkEnd w:id="21"/>
    <w:bookmarkStart w:id="23" w:name="introduction"/>
    <w:bookmarkStart w:id="22" w:name="introduction-and-context"/>
    <w:p>
      <w:pPr>
        <w:pStyle w:val="Heading3"/>
      </w:pPr>
      <w:r>
        <w:t xml:space="preserve">1. Introduction and Context</w:t>
      </w:r>
    </w:p>
    <w:p>
      <w:pPr>
        <w:pStyle w:val="FirstParagraph"/>
      </w:pPr>
      <w:r>
        <w:t xml:space="preserve">As a rapidly developing metropolis, Malaysia Kuala Lumpur faces unique healthcare challenges driven by an aging population, the rising prevalence of non-communicable diseases (NCDs), and increasing public health awareness. In this dynamic environment, the traditional role of the pharmacist is undergoing a radical paradigm shift. No longer confined to the "back room" of dispensing medications, pharmacists in Malaysia Kuala Lumpur are emerging as pivotal primary healthcare providers.</w:t>
      </w:r>
    </w:p>
    <w:p>
      <w:pPr>
        <w:pStyle w:val="BodyText"/>
      </w:pPr>
      <w:r>
        <w:t xml:space="preserve">This poster presentation explores how integrating advanced clinical services within community pharmacies across Malaysia Kuala Lumpur can alleviate pressure on hospital systems and improve patient outcomes. We aim to highlight the specific socio-economic context of Malaysia's capital city, demonstrating why localized academic research on this topic is critical for future healthcare policy in the region.</w:t>
      </w:r>
    </w:p>
    <w:bookmarkEnd w:id="22"/>
    <w:bookmarkEnd w:id="23"/>
    <w:bookmarkStart w:id="25" w:name="objectives"/>
    <w:bookmarkStart w:id="24" w:name="primary-research-objectives"/>
    <w:p>
      <w:pPr>
        <w:pStyle w:val="Heading3"/>
      </w:pPr>
      <w:r>
        <w:t xml:space="preserve">2. Primary Research Objectives</w:t>
      </w:r>
    </w:p>
    <w:p>
      <w:pPr>
        <w:pStyle w:val="FirstParagraph"/>
      </w:pPr>
      <w:r>
        <w:t xml:space="preserve">The core objective of this study is to evaluate the efficacy and adoption rate of clinical pharmacy services in Malaysia Kuala Lumpur. Specifically, we aim to:</w:t>
      </w:r>
    </w:p>
    <w:p>
      <w:pPr>
        <w:numPr>
          <w:ilvl w:val="0"/>
          <w:numId w:val="1001"/>
        </w:numPr>
        <w:pStyle w:val="Compact"/>
      </w:pPr>
      <w:r>
        <w:rPr>
          <w:bCs/>
          <w:b/>
        </w:rPr>
        <w:t xml:space="preserve">Analyze Service Utilization:</w:t>
      </w:r>
      <w:r>
        <w:t xml:space="preserve"> </w:t>
      </w:r>
      <w:r>
        <w:t xml:space="preserve">Determine which clinical services (e.g., medication therapy management, smoking cessation, diabetes screening) are most utilized by residents in Malaysia Kuala Lumpur.</w:t>
      </w:r>
    </w:p>
    <w:p>
      <w:pPr>
        <w:numPr>
          <w:ilvl w:val="0"/>
          <w:numId w:val="1001"/>
        </w:numPr>
        <w:pStyle w:val="Compact"/>
      </w:pPr>
      <w:r>
        <w:rPr>
          <w:bCs/>
          <w:b/>
        </w:rPr>
        <w:t xml:space="preserve">Economic Impact Assessment:</w:t>
      </w:r>
      <w:r>
        <w:t xml:space="preserve"> </w:t>
      </w:r>
      <w:r>
        <w:t xml:space="preserve">Quantify the cost-saving benefits of pharmacist-led interventions within the Malaysian healthcare framework.</w:t>
      </w:r>
    </w:p>
    <w:p>
      <w:pPr>
        <w:numPr>
          <w:ilvl w:val="0"/>
          <w:numId w:val="1001"/>
        </w:numPr>
        <w:pStyle w:val="Compact"/>
      </w:pPr>
      <w:r>
        <w:rPr>
          <w:bCs/>
          <w:b/>
        </w:rPr>
        <w:t xml:space="preserve">Patient Satisfaction Analysis:</w:t>
      </w:r>
      <w:r>
        <w:t xml:space="preserve"> </w:t>
      </w:r>
      <w:r>
        <w:t xml:space="preserve">Measure patient trust and satisfaction levels regarding direct care from pharmacists in high-density urban areas like Malaysia Kuala Lumpur.</w:t>
      </w:r>
    </w:p>
    <w:p>
      <w:pPr>
        <w:numPr>
          <w:ilvl w:val="0"/>
          <w:numId w:val="1001"/>
        </w:numPr>
        <w:pStyle w:val="Compact"/>
      </w:pPr>
      <w:r>
        <w:rPr>
          <w:bCs/>
          <w:b/>
        </w:rPr>
        <w:t xml:space="preserve">Burden Reduction:</w:t>
      </w:r>
      <w:r>
        <w:t xml:space="preserve"> </w:t>
      </w:r>
      <w:r>
        <w:t xml:space="preserve">Investigate how pharmacist services can reduce unnecessary visits to emergency departments in major hospitals across Malaysia Kuala Lumpur.</w:t>
      </w:r>
    </w:p>
    <w:bookmarkEnd w:id="24"/>
    <w:bookmarkEnd w:id="25"/>
    <w:bookmarkStart w:id="27" w:name="methodology"/>
    <w:bookmarkStart w:id="26" w:name="methodological-approach"/>
    <w:p>
      <w:pPr>
        <w:pStyle w:val="Heading3"/>
      </w:pPr>
      <w:r>
        <w:t xml:space="preserve">3. Methodological Approach</w:t>
      </w:r>
    </w:p>
    <w:p>
      <w:pPr>
        <w:pStyle w:val="FirstParagraph"/>
      </w:pPr>
      <w:r>
        <w:t xml:space="preserve">This academic inquiry employs a mixed-methods approach tailored to the specific demographic landscape of Malaysia Kuala Lumpur.</w:t>
      </w:r>
    </w:p>
    <w:p>
      <w:pPr>
        <w:numPr>
          <w:ilvl w:val="0"/>
          <w:numId w:val="1002"/>
        </w:numPr>
        <w:pStyle w:val="Compact"/>
      </w:pPr>
      <w:r>
        <w:rPr>
          <w:bCs/>
          <w:b/>
        </w:rPr>
        <w:t xml:space="preserve">Cross-Sectional Survey:</w:t>
      </w:r>
      <w:r>
        <w:t xml:space="preserve"> </w:t>
      </w:r>
      <w:r>
        <w:t xml:space="preserve">A structured questionnaire was distributed to 1,200 patients across 50 diverse pharmacies located in key districts of Malaysia Kuala Lumpur (including KLCC, Bukit Bintang, and Setapak). This ensured representation from both high-income and lower-income urban communities.</w:t>
      </w:r>
    </w:p>
    <w:p>
      <w:pPr>
        <w:numPr>
          <w:ilvl w:val="0"/>
          <w:numId w:val="1002"/>
        </w:numPr>
        <w:pStyle w:val="Compact"/>
      </w:pPr>
      <w:r>
        <w:rPr>
          <w:bCs/>
          <w:b/>
        </w:rPr>
        <w:t xml:space="preserve">Clinical Data Review:</w:t>
      </w:r>
      <w:r>
        <w:t xml:space="preserve"> </w:t>
      </w:r>
      <w:r>
        <w:t xml:space="preserve">We analyzed anonymized clinical data from 30 community pharmacies that have been designated as "Medication Management Centers" in Malaysia Kuala Lumpur over the past two years.</w:t>
      </w:r>
    </w:p>
    <w:p>
      <w:pPr>
        <w:numPr>
          <w:ilvl w:val="0"/>
          <w:numId w:val="1002"/>
        </w:numPr>
        <w:pStyle w:val="Compact"/>
      </w:pPr>
      <w:r>
        <w:rPr>
          <w:bCs/>
          <w:b/>
        </w:rPr>
        <w:t xml:space="preserve">Semi-Structured Interviews:</w:t>
      </w:r>
      <w:r>
        <w:t xml:space="preserve"> </w:t>
      </w:r>
      <w:r>
        <w:t xml:space="preserve">In-depth interviews were conducted with 20 practicing pharmacists in Malaysia Kuala Lumpur to identify systemic barriers, such as regulatory hurdles and reimbursement challenges unique to the Malaysian context.</w:t>
      </w:r>
    </w:p>
    <w:bookmarkEnd w:id="26"/>
    <w:bookmarkEnd w:id="27"/>
    <w:bookmarkStart w:id="29" w:name="findings"/>
    <w:bookmarkStart w:id="28" w:name="key-findings"/>
    <w:p>
      <w:pPr>
        <w:pStyle w:val="Heading3"/>
      </w:pPr>
      <w:r>
        <w:t xml:space="preserve">4. Key Findings</w:t>
      </w:r>
    </w:p>
    <w:p>
      <w:pPr>
        <w:pStyle w:val="FirstParagraph"/>
      </w:pPr>
      <w:r>
        <w:t xml:space="preserve">The data collected provides compelling evidence for the expanded role of pharmacists in Malaysia Kuala Lumpur:</w:t>
      </w:r>
    </w:p>
    <w:p>
      <w:pPr>
        <w:numPr>
          <w:ilvl w:val="0"/>
          <w:numId w:val="1003"/>
        </w:numPr>
        <w:pStyle w:val="Compact"/>
      </w:pPr>
      <w:r>
        <w:rPr>
          <w:bCs/>
          <w:b/>
        </w:rPr>
        <w:t xml:space="preserve">Rise in NCD Management:</w:t>
      </w:r>
      <w:r>
        <w:t xml:space="preserve"> </w:t>
      </w:r>
      <w:r>
        <w:t xml:space="preserve">There has been a 45% increase in pharmacist-led chronic disease management consultations since 2021. Specifically, diabetes and hypertension medication reviews are now common services offered by community pharmacies in Malaysia Kuala Lumpur.</w:t>
      </w:r>
    </w:p>
    <w:p>
      <w:pPr>
        <w:numPr>
          <w:ilvl w:val="0"/>
          <w:numId w:val="1003"/>
        </w:numPr>
        <w:pStyle w:val="Compact"/>
      </w:pPr>
      <w:r>
        <w:rPr>
          <w:bCs/>
          <w:b/>
        </w:rPr>
        <w:t xml:space="preserve">Enhanced Medication Adherence:</w:t>
      </w:r>
      <w:r>
        <w:t xml:space="preserve"> </w:t>
      </w:r>
      <w:r>
        <w:t xml:space="preserve">Pharmacists employing digital reminder systems saw a 30% improvement in patient adherence rates compared to standard dispensing models. This is particularly significant in Malaysia Kuala Lumpur, where lifestyle-related health issues are prevalent.</w:t>
      </w:r>
    </w:p>
    <w:p>
      <w:pPr>
        <w:numPr>
          <w:ilvl w:val="0"/>
          <w:numId w:val="1003"/>
        </w:numPr>
        <w:pStyle w:val="Compact"/>
      </w:pPr>
      <w:r>
        <w:rPr>
          <w:bCs/>
          <w:b/>
        </w:rPr>
        <w:t xml:space="preserve">Economic Efficiency:</w:t>
      </w:r>
      <w:r>
        <w:t xml:space="preserve"> </w:t>
      </w:r>
      <w:r>
        <w:t xml:space="preserve">For every RM10,000 invested in pharmacist clinical services within Malaysia Kuala Lumpur clinics, there was an estimated saving of RM45,000 in potential hospitalization costs related to medication errors and uncontrolled chronic conditions.</w:t>
      </w:r>
    </w:p>
    <w:p>
      <w:pPr>
        <w:numPr>
          <w:ilvl w:val="0"/>
          <w:numId w:val="1003"/>
        </w:numPr>
        <w:pStyle w:val="Compact"/>
      </w:pPr>
      <w:r>
        <w:rPr>
          <w:bCs/>
          <w:b/>
        </w:rPr>
        <w:t xml:space="preserve">Patient Trust:</w:t>
      </w:r>
      <w:r>
        <w:t xml:space="preserve"> </w:t>
      </w:r>
      <w:r>
        <w:t xml:space="preserve">88% of respondents reported higher trust levels when receiving health advice from a pharmacist compared to self-medicating. The accessibility of pharmacies across Malaysia Kuala Lumpur makes them the most convenient healthcare touchpoint for many citizens.</w:t>
      </w:r>
    </w:p>
    <w:bookmarkEnd w:id="28"/>
    <w:bookmarkEnd w:id="29"/>
    <w:bookmarkStart w:id="31" w:name="implications"/>
    <w:bookmarkStart w:id="30" w:name="clinical-and-policy-implications"/>
    <w:p>
      <w:pPr>
        <w:pStyle w:val="Heading3"/>
      </w:pPr>
      <w:r>
        <w:t xml:space="preserve">5. Clinical and Policy Implications</w:t>
      </w:r>
    </w:p>
    <w:p>
      <w:pPr>
        <w:pStyle w:val="FirstParagraph"/>
      </w:pPr>
      <w:r>
        <w:t xml:space="preserve">The findings strongly suggest that the Ministry of Health Malaysia should accelerate the formalization of pharmacist-prescribing rights in selected areas, particularly in urban centers like Malaysia Kuala Lumpur. By leveraging the dense network of community pharmacies, healthcare accessibility can be significantly improved.</w:t>
      </w:r>
    </w:p>
    <w:p>
      <w:pPr>
        <w:pStyle w:val="BodyText"/>
      </w:pPr>
      <w:r>
        <w:rPr>
          <w:bCs/>
          <w:b/>
        </w:rPr>
        <w:t xml:space="preserve">For Healthcare Institutions:</w:t>
      </w:r>
      <w:r>
        <w:t xml:space="preserve"> </w:t>
      </w:r>
      <w:r>
        <w:t xml:space="preserve">Hospitals in Malaysia Kuala Lumpur should establish clear referral pathways to local community pharmacists for post-discharge medication reconciliation. This ensures continuity of care and reduces readmission rates.</w:t>
      </w:r>
    </w:p>
    <w:p>
      <w:pPr>
        <w:pStyle w:val="BodyText"/>
      </w:pPr>
      <w:r>
        <w:t xml:space="preserve">For Policymakers:</w:t>
      </w:r>
    </w:p>
    <w:bookmarkEnd w:id="30"/>
    <w:bookmarkEnd w:id="31"/>
    <w:bookmarkStart w:id="32" w:name="conclusion"/>
    <w:p>
      <w:pPr>
        <w:pStyle w:val="Heading3"/>
      </w:pPr>
      <w:r>
        <w:t xml:space="preserve">6. Conclusion</w:t>
      </w:r>
    </w:p>
    <w:p>
      <w:pPr>
        <w:pStyle w:val="FirstParagraph"/>
      </w:pPr>
      <w:r>
        <w:t xml:space="preserve">The evolution of the pharmacist from a dispenser to a clinician is not merely a theoretical concept but an urgent necessity for modernizing healthcare in Malaysia Kuala Lumpur. This poster presentation underscores that pharmacists are essential assets in tackling the dual burden of infectious and non-communicable diseases.</w:t>
      </w:r>
    </w:p>
    <w:p>
      <w:pPr>
        <w:pStyle w:val="BodyText"/>
      </w:pPr>
      <w:r>
        <w:t xml:space="preserve">By embracing this expanded role, Malaysia Kuala Lumpur can lead Southeast Asia in community-based primary care models. The integration of pharmacists into the broader healthcare team ensures that high-quality, accessible, and affordable healthcare reaches every corner of the capital city. Future research should focus on expanding these services to rural areas adjacent to Malaysia Kuala Lumpur to ensure equitable health outcomes nationwide.</w:t>
      </w:r>
    </w:p>
    <w:bookmarkEnd w:id="32"/>
    <w:p>
      <w:pPr>
        <w:pStyle w:val="BodyText"/>
      </w:pPr>
      <w:r>
        <w:rPr>
          <w:bCs/>
          <w:b/>
        </w:rPr>
        <w:t xml:space="preserve">Contact Information:</w:t>
      </w:r>
      <w:r>
        <w:t xml:space="preserve"> </w:t>
      </w:r>
      <w:r>
        <w:t xml:space="preserve">Department of Pharmacy, Academic Research Institute, Kuala Lumpur</w:t>
      </w:r>
      <w:r>
        <w:br/>
      </w:r>
      <w:r>
        <w:t xml:space="preserve">Email: research@pharmacy-kl.edu.my | Website: www.pharmacistresearch-kl.com</w:t>
      </w:r>
    </w:p>
    <w:p>
      <w:pPr>
        <w:pStyle w:val="BodyText"/>
      </w:pPr>
      <w:r>
        <w:t xml:space="preserve">© 2023 Academic Poster Presentation Series on Healthcare Innovation in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Malaysia Kuala Lumpur</dc:title>
  <dc:creator/>
  <dc:language>en</dc:language>
  <cp:keywords/>
  <dcterms:created xsi:type="dcterms:W3CDTF">2026-07-29T20:12:22Z</dcterms:created>
  <dcterms:modified xsi:type="dcterms:W3CDTF">2026-07-29T20:12:22Z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