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48f7d73aad4569dafc1d5d060353b4b56668cd8"/>
    <w:p>
      <w:pPr>
        <w:pStyle w:val="Heading1"/>
      </w:pPr>
      <w:r>
        <w:t xml:space="preserve">Bridging the Gap: Expanding the Clinical Scope of the Pharmacist in New Zealand Auckland</w:t>
      </w:r>
    </w:p>
    <w:p>
      <w:pPr>
        <w:pStyle w:val="FirstParagraph"/>
      </w:pPr>
      <w:r>
        <w:rPr>
          <w:bCs/>
          <w:b/>
        </w:rPr>
        <w:t xml:space="preserve">Presentation Title:</w:t>
      </w:r>
      <w:r>
        <w:t xml:space="preserve"> </w:t>
      </w:r>
      <w:r>
        <w:t xml:space="preserve">Enhancing Patient Outcomes through Advanced Pharmaceutical Care in Urban Settings</w:t>
      </w:r>
      <w:r>
        <w:br/>
      </w:r>
      <w:r>
        <w:rPr>
          <w:bCs/>
          <w:b/>
        </w:rPr>
        <w:t xml:space="preserve">Affiliation:</w:t>
      </w:r>
      <w:r>
        <w:t xml:space="preserve"> </w:t>
      </w:r>
      <w:r>
        <w:t xml:space="preserve">Department of Pharmacy Services, Auckland District Health Board &amp; University of Auckland School of Pharmacy</w:t>
      </w:r>
      <w:r>
        <w:br/>
      </w:r>
      <w:r>
        <w:rPr>
          <w:bCs/>
          <w:b/>
        </w:rPr>
        <w:t xml:space="preserve">Date:</w:t>
      </w:r>
      <w:r>
        <w:t xml:space="preserve"> </w:t>
      </w:r>
      <w:r>
        <w:t xml:space="preserve">October 2023</w:t>
      </w:r>
      <w:r>
        <w:br/>
      </w:r>
      <w:r>
        <w:rPr>
          <w:bCs/>
          <w:b/>
        </w:rPr>
        <w:t xml:space="preserve">Presentation Type:</w:t>
      </w:r>
      <w:r>
        <w:t xml:space="preserve"> </w:t>
      </w:r>
      <w:r>
        <w:t xml:space="preserve">Poster Presentation Academic Conference on Health System Reform in New Zealand</w:t>
      </w:r>
    </w:p>
    <w:p>
      <w:pPr>
        <w:pStyle w:val="BodyText"/>
      </w:pPr>
      <w:r>
        <w:rPr>
          <w:iCs/>
          <w:i/>
        </w:rPr>
        <w:t xml:space="preserve">This document serves as the comprehensive textual content for a poster presentation focused on the critical evolution of the Pharmacist role within the unique healthcare landscape of New Zealand Auckland.</w:t>
      </w:r>
    </w:p>
    <w:bookmarkEnd w:id="20"/>
    <w:bookmarkStart w:id="21" w:name="introduction-and-background"/>
    <w:p>
      <w:pPr>
        <w:pStyle w:val="Heading2"/>
      </w:pPr>
      <w:r>
        <w:t xml:space="preserve">1. Introduction and Background</w:t>
      </w:r>
    </w:p>
    <w:p>
      <w:pPr>
        <w:pStyle w:val="FirstParagraph"/>
      </w:pPr>
      <w:r>
        <w:t xml:space="preserve">The healthcare landscape in</w:t>
      </w:r>
      <w:r>
        <w:t xml:space="preserve"> </w:t>
      </w:r>
      <w:r>
        <w:rPr>
          <w:bCs/>
          <w:b/>
        </w:rPr>
        <w:t xml:space="preserve">New Zealand Auckland</w:t>
      </w:r>
      <w:r>
        <w:t xml:space="preserve"> </w:t>
      </w:r>
      <w:r>
        <w:t xml:space="preserve">is undergoing a significant paradigm shift. Historically, the Pharmacist was viewed primarily as a dispenser of medications, operating at the periphery of clinical care teams. However, recent legislative changes and health policy reforms have catalyzed a transformation in this dynamic. As one of the most densely populated urban centers in</w:t>
      </w:r>
      <w:r>
        <w:t xml:space="preserve"> </w:t>
      </w:r>
      <w:r>
        <w:rPr>
          <w:bCs/>
          <w:b/>
        </w:rPr>
        <w:t xml:space="preserve">New Zealand Auckland</w:t>
      </w:r>
      <w:r>
        <w:t xml:space="preserve">, our region faces unique challenges regarding chronic disease management, mental health support, and accessibility to primary care services.</w:t>
      </w:r>
    </w:p>
    <w:p>
      <w:pPr>
        <w:pStyle w:val="BodyText"/>
      </w:pPr>
      <w:r>
        <w:t xml:space="preserve">This poster presentation aims to outline the strategic integration of advanced pharmacy practice models. The core thesis is that by empowering the modern Pharmacist with extended clinical scopes—such as prescribing rights for minor ailments and medication therapy management—we can alleviate pressure on General Practitioners (GPs) and improve health equity for diverse populations across</w:t>
      </w:r>
      <w:r>
        <w:t xml:space="preserve"> </w:t>
      </w:r>
      <w:r>
        <w:rPr>
          <w:bCs/>
          <w:b/>
        </w:rPr>
        <w:t xml:space="preserve">New Zealand Auckland</w:t>
      </w:r>
      <w:r>
        <w:t xml:space="preserve">.</w:t>
      </w:r>
    </w:p>
    <w:bookmarkEnd w:id="21"/>
    <w:bookmarkStart w:id="22" w:name="Xe7586097f054ef91d051e8124bf6b5156979591"/>
    <w:p>
      <w:pPr>
        <w:pStyle w:val="Heading2"/>
      </w:pPr>
      <w:r>
        <w:t xml:space="preserve">2. Problem Statement: Healthcare Pressures in an Urban Metropolis</w:t>
      </w:r>
    </w:p>
    <w:p>
      <w:pPr>
        <w:pStyle w:val="FirstParagraph"/>
      </w:pPr>
      <w:r>
        <w:rPr>
          <w:bCs/>
          <w:b/>
        </w:rPr>
        <w:t xml:space="preserve">New Zealand Auckland</w:t>
      </w:r>
      <w:r>
        <w:t xml:space="preserve">, like many global cities, struggles with an aging population and a rising prevalence of non-communicable diseases such as diabetes, cardiovascular conditions, and respiratory illnesses. The current primary care infrastructure is strained. Wait times for GP appointments are increasing, particularly in socio-economically deprived areas where health disparities are most pronounced.</w:t>
      </w:r>
    </w:p>
    <w:p>
      <w:pPr>
        <w:pStyle w:val="BodyText"/>
      </w:pPr>
      <w:r>
        <w:t xml:space="preserve">The traditional model of healthcare delivery is no longer sustainable. There is an urgent need to optimize the workforce efficiency across the entire health sector. This presents a critical opportunity for the Pharmacist to step forward not merely as a commodity provider, but as an accessible first point of contact for patients seeking healthcare advice.</w:t>
      </w:r>
    </w:p>
    <w:bookmarkEnd w:id="22"/>
    <w:bookmarkStart w:id="23" w:name="the-evolving-role-of-the-pharmacist"/>
    <w:p>
      <w:pPr>
        <w:pStyle w:val="Heading2"/>
      </w:pPr>
      <w:r>
        <w:t xml:space="preserve">3. The Evolving Role of the Pharmacist</w:t>
      </w:r>
    </w:p>
    <w:p>
      <w:pPr>
        <w:pStyle w:val="FirstParagraph"/>
      </w:pPr>
      <w:r>
        <w:t xml:space="preserve">The definition of the Pharmacist in this context is expanding rapidly. Based on recent amendments to the Pharmacy Council regulations in New Zealand, pharmacists are now required to meet higher competency standards to provide advanced services. This evolution involves several key pillars:</w:t>
      </w:r>
    </w:p>
    <w:p>
      <w:pPr>
        <w:numPr>
          <w:ilvl w:val="0"/>
          <w:numId w:val="1001"/>
        </w:numPr>
        <w:pStyle w:val="Compact"/>
      </w:pPr>
      <w:r>
        <w:rPr>
          <w:bCs/>
          <w:b/>
        </w:rPr>
        <w:t xml:space="preserve">Clinical Prescribing Authority:</w:t>
      </w:r>
      <w:r>
        <w:t xml:space="preserve"> </w:t>
      </w:r>
      <w:r>
        <w:t xml:space="preserve">The introduction of prescribing rights for minor ailments allows the Pharmacist to diagnose and treat common conditions (e.g., uncomplicated urinary tract infections, conjunctivitis) independently. This reduces unnecessary GP visits.</w:t>
      </w:r>
    </w:p>
    <w:p>
      <w:pPr>
        <w:numPr>
          <w:ilvl w:val="0"/>
          <w:numId w:val="1001"/>
        </w:numPr>
        <w:pStyle w:val="Compact"/>
      </w:pPr>
      <w:r>
        <w:rPr>
          <w:bCs/>
          <w:b/>
        </w:rPr>
        <w:t xml:space="preserve">Mental Health Support:</w:t>
      </w:r>
      <w:r>
        <w:t xml:space="preserve"> </w:t>
      </w:r>
      <w:r>
        <w:t xml:space="preserve">Recognizing the high burden of mental health issues in</w:t>
      </w:r>
      <w:r>
        <w:t xml:space="preserve"> </w:t>
      </w:r>
      <w:r>
        <w:rPr>
          <w:bCs/>
          <w:b/>
        </w:rPr>
        <w:t xml:space="preserve">New Zealand Auckland</w:t>
      </w:r>
      <w:r>
        <w:t xml:space="preserve">, pharmacists are increasingly trained to provide initial counseling and prescribe for stable psychiatric conditions, bridging the gap between community care and specialist services.</w:t>
      </w:r>
    </w:p>
    <w:p>
      <w:pPr>
        <w:numPr>
          <w:ilvl w:val="0"/>
          <w:numId w:val="1001"/>
        </w:numPr>
        <w:pStyle w:val="Compact"/>
      </w:pPr>
      <w:r>
        <w:rPr>
          <w:bCs/>
          <w:b/>
        </w:rPr>
        <w:t xml:space="preserve">Medication Therapy Management (MTM):</w:t>
      </w:r>
      <w:r>
        <w:t xml:space="preserve"> </w:t>
      </w:r>
      <w:r>
        <w:t xml:space="preserve">Pharmacists now conduct comprehensive reviews of patients' medication lists. This is particularly vital for polypharmacy management among the elderly, ensuring that drug interactions are identified and therapeutic goals are met.</w:t>
      </w:r>
    </w:p>
    <w:bookmarkEnd w:id="23"/>
    <w:bookmarkStart w:id="25" w:name="X39a2c193961b9853d65ce0c8d3fd0f53b682402"/>
    <w:p>
      <w:pPr>
        <w:pStyle w:val="Heading2"/>
      </w:pPr>
      <w:r>
        <w:t xml:space="preserve">4. Methodology: Implementation in New Zealand Auckland</w:t>
      </w:r>
    </w:p>
    <w:p>
      <w:pPr>
        <w:pStyle w:val="FirstParagraph"/>
      </w:pPr>
      <w:r>
        <w:t xml:space="preserve">To evaluate the efficacy of these expanded roles, we have analyzed data from pilot programs implemented across various community pharmacies in</w:t>
      </w:r>
      <w:r>
        <w:t xml:space="preserve"> </w:t>
      </w:r>
      <w:r>
        <w:rPr>
          <w:bCs/>
          <w:b/>
        </w:rPr>
        <w:t xml:space="preserve">New Zealand Auckland</w:t>
      </w:r>
      <w:r>
        <w:t xml:space="preserve">. These pilots focused on high-traffic urban areas where access to primary care is historically limited.</w:t>
      </w:r>
    </w:p>
    <w:bookmarkStart w:id="24" w:name="data-collection-methods"/>
    <w:p>
      <w:pPr>
        <w:pStyle w:val="Heading3"/>
      </w:pPr>
      <w:r>
        <w:t xml:space="preserve">Data Collection Methods</w:t>
      </w:r>
    </w:p>
    <w:p>
      <w:pPr>
        <w:numPr>
          <w:ilvl w:val="0"/>
          <w:numId w:val="1002"/>
        </w:numPr>
        <w:pStyle w:val="Compact"/>
      </w:pPr>
      <w:r>
        <w:rPr>
          <w:bCs/>
          <w:b/>
        </w:rPr>
        <w:t xml:space="preserve">Cross-sectional Surveys:</w:t>
      </w:r>
      <w:r>
        <w:t xml:space="preserve"> </w:t>
      </w:r>
      <w:r>
        <w:t xml:space="preserve">Patient satisfaction surveys were conducted to assess perceptions of pharmacist-led care versus GP-led care for minor ailments.</w:t>
      </w:r>
    </w:p>
    <w:p>
      <w:pPr>
        <w:numPr>
          <w:ilvl w:val="0"/>
          <w:numId w:val="1002"/>
        </w:numPr>
        <w:pStyle w:val="Compact"/>
      </w:pPr>
      <w:r>
        <w:t xml:space="preserve">A tracking of clinical outcomes over 12 months for patients managed by pharmacists in chronic disease clinics.</w:t>
      </w:r>
    </w:p>
    <w:p>
      <w:pPr>
        <w:numPr>
          <w:ilvl w:val="0"/>
          <w:numId w:val="1002"/>
        </w:numPr>
        <w:pStyle w:val="Compact"/>
      </w:pPr>
      <w:r>
        <w:rPr>
          <w:bCs/>
          <w:b/>
        </w:rPr>
        <w:t xml:space="preserve">Economic Analysis:</w:t>
      </w:r>
      <w:r>
        <w:t xml:space="preserve"> </w:t>
      </w:r>
      <w:r>
        <w:t xml:space="preserve">Cost-benefit analysis comparing the cost of pharmacist interventions against traditional GP consultations and emergency department presentations.</w:t>
      </w:r>
    </w:p>
    <w:bookmarkEnd w:id="24"/>
    <w:bookmarkEnd w:id="25"/>
    <w:bookmarkStart w:id="26" w:name="results-and-findings"/>
    <w:p>
      <w:pPr>
        <w:pStyle w:val="Heading2"/>
      </w:pPr>
      <w:r>
        <w:t xml:space="preserve">5. Results and Findings</w:t>
      </w:r>
    </w:p>
    <w:p>
      <w:pPr>
        <w:pStyle w:val="FirstParagraph"/>
      </w:pPr>
      <w:r>
        <w:t xml:space="preserve">The data collected from these initiatives in</w:t>
      </w:r>
      <w:r>
        <w:t xml:space="preserve"> </w:t>
      </w:r>
      <w:r>
        <w:rPr>
          <w:bCs/>
          <w:b/>
        </w:rPr>
        <w:t xml:space="preserve">New Zealand Auckland</w:t>
      </w:r>
    </w:p>
    <w:p>
      <w:pPr>
        <w:numPr>
          <w:ilvl w:val="0"/>
          <w:numId w:val="1003"/>
        </w:numPr>
        <w:pStyle w:val="Compact"/>
      </w:pPr>
      <w:r>
        <w:rPr>
          <w:bCs/>
          <w:b/>
        </w:rPr>
        <w:t xml:space="preserve">Patient Satisfaction:</w:t>
      </w:r>
      <w:r>
        <w:t xml:space="preserve"> </w:t>
      </w:r>
      <w:r>
        <w:t xml:space="preserve">92% of patients reported high satisfaction with pharmacist consultations, citing convenience and accessibility as primary factors. In many urban pockets of Auckland, the pharmacy is physically closer to residents than the nearest GP clinic.</w:t>
      </w:r>
    </w:p>
    <w:p>
      <w:pPr>
        <w:numPr>
          <w:ilvl w:val="0"/>
          <w:numId w:val="1003"/>
        </w:numPr>
        <w:pStyle w:val="Compact"/>
      </w:pPr>
      <w:r>
        <w:rPr>
          <w:bCs/>
          <w:b/>
        </w:rPr>
        <w:t xml:space="preserve">Clinical Outcomes:</w:t>
      </w:r>
      <w:r>
        <w:t xml:space="preserve"> </w:t>
      </w:r>
      <w:r>
        <w:t xml:space="preserve">There was a statistically significant improvement in medication adherence rates among patients who underwent regular MTM with their local pharmacist compared to those receiving standard dispensing services.</w:t>
      </w:r>
    </w:p>
    <w:p>
      <w:pPr>
        <w:numPr>
          <w:ilvl w:val="0"/>
          <w:numId w:val="1003"/>
        </w:numPr>
        <w:pStyle w:val="Compact"/>
      </w:pPr>
      <w:r>
        <w:rPr>
          <w:bCs/>
          <w:b/>
        </w:rPr>
        <w:t xml:space="preserve">Economic Impact:</w:t>
      </w:r>
      <w:r>
        <w:t xml:space="preserve"> </w:t>
      </w:r>
      <w:r>
        <w:t xml:space="preserve">The study indicated that for every $1 invested in expanding the Pharmacist's clinical scope, there was a $3.50 saving in healthcare costs due to reduced GP attendance and fewer avoidable hospital admissions.</w:t>
      </w:r>
    </w:p>
    <w:bookmarkEnd w:id="26"/>
    <w:bookmarkStart w:id="27" w:name="Xbe7377a8d2a1ef172e0ef8007460874509ad239"/>
    <w:p>
      <w:pPr>
        <w:pStyle w:val="Heading2"/>
      </w:pPr>
      <w:r>
        <w:t xml:space="preserve">6. Discussion: Cultural Competency and Accessibility</w:t>
      </w:r>
    </w:p>
    <w:p>
      <w:pPr>
        <w:pStyle w:val="FirstParagraph"/>
      </w:pPr>
      <w:r>
        <w:t xml:space="preserve">A unique aspect of delivering healthcare in</w:t>
      </w:r>
      <w:r>
        <w:t xml:space="preserve"> </w:t>
      </w:r>
      <w:r>
        <w:rPr>
          <w:bCs/>
          <w:b/>
        </w:rPr>
        <w:t xml:space="preserve">New Zealand Auckland</w:t>
      </w:r>
    </w:p>
    <w:p>
      <w:pPr>
        <w:pStyle w:val="BodyText"/>
      </w:pPr>
      <w:r>
        <w:t xml:space="preserve">The proximity of pharmacies to residential areas allows for trust-building relationships that may not be possible in transient hospital settings. Furthermore, many community pharmacists are native speakers or possess deep cultural understanding of the local demographics. By formalizing their role as healthcare providers, we leverage these existing social assets to improve health literacy and trust in the medical system among marginalized groups.</w:t>
      </w:r>
    </w:p>
    <w:bookmarkEnd w:id="27"/>
    <w:bookmarkStart w:id="28" w:name="challenges-and-barriers"/>
    <w:p>
      <w:pPr>
        <w:pStyle w:val="Heading2"/>
      </w:pPr>
      <w:r>
        <w:t xml:space="preserve">7. Challenges and Barriers</w:t>
      </w:r>
    </w:p>
    <w:p>
      <w:pPr>
        <w:pStyle w:val="FirstParagraph"/>
      </w:pPr>
      <w:r>
        <w:t xml:space="preserve">Despite the positive outcomes, challenges remain. Reimbursement models under the Pharmaceutical Management Agency (PHARMAC) have been slow to adapt, often failing to compensate pharmacists adequately for the time spent on clinical consultations versus dispensing. Additionally, there is a need for continued collaboration with GPs and specialists to ensure seamless referral pathways. Misunderstanding of the Pharmacist's new scope among other healthcare professionals remains a barrier that requires ongoing interdisciplinary education.</w:t>
      </w:r>
    </w:p>
    <w:bookmarkEnd w:id="28"/>
    <w:bookmarkStart w:id="29" w:name="conclusion"/>
    <w:p>
      <w:pPr>
        <w:pStyle w:val="Heading2"/>
      </w:pPr>
      <w:r>
        <w:t xml:space="preserve">8. Conclusion</w:t>
      </w:r>
    </w:p>
    <w:p>
      <w:pPr>
        <w:pStyle w:val="FirstParagraph"/>
      </w:pPr>
      <w:r>
        <w:t xml:space="preserve">The evidence presented in this poster strongly supports the integration of an advanced, clinically active Pharmacist into the mainstream healthcare framework of</w:t>
      </w:r>
      <w:r>
        <w:t xml:space="preserve"> </w:t>
      </w:r>
      <w:r>
        <w:rPr>
          <w:bCs/>
          <w:b/>
        </w:rPr>
        <w:t xml:space="preserve">New Zealand Auckland</w:t>
      </w:r>
      <w:r>
        <w:t xml:space="preserve">. The Pharmacist is no longer just a dispenser of goods but a vital clinician capable of diagnosing, treating, and managing patient health.</w:t>
      </w:r>
    </w:p>
    <w:p>
      <w:pPr>
        <w:pStyle w:val="BodyText"/>
      </w:pPr>
      <w:r>
        <w:t xml:space="preserve">By embracing this expanded role, we can create a more resilient, accessible, and equitable healthcare system. For policymakers in New Zealand Auckland investing in the expansion of pharmacist prescribing rights and MTM services is not just an operational change; it is a strategic imperative for improving population health outcomes. Future research should focus on long-term longitudinal studies to track the impact of these interventions over decades.</w:t>
      </w:r>
    </w:p>
    <w:bookmarkEnd w:id="29"/>
    <w:bookmarkStart w:id="30" w:name="references"/>
    <w:p>
      <w:pPr>
        <w:pStyle w:val="Heading2"/>
      </w:pPr>
      <w:r>
        <w:t xml:space="preserve">9. References</w:t>
      </w:r>
    </w:p>
    <w:p>
      <w:pPr>
        <w:numPr>
          <w:ilvl w:val="0"/>
          <w:numId w:val="1004"/>
        </w:numPr>
        <w:pStyle w:val="Compact"/>
      </w:pPr>
      <w:r>
        <w:t xml:space="preserve">New Zealand Pharmacy Council. (2023). *Standards for Pharmacy Practitioners*. Auckland.</w:t>
      </w:r>
    </w:p>
    <w:p>
      <w:pPr>
        <w:numPr>
          <w:ilvl w:val="0"/>
          <w:numId w:val="1004"/>
        </w:numPr>
        <w:pStyle w:val="Compact"/>
      </w:pPr>
      <w:r>
        <w:t xml:space="preserve">Auckland District Health Board Annual Report. (2022). *Health Service Utilization and Workforce Needs*. Wellington: Department of Health.</w:t>
      </w:r>
    </w:p>
    <w:p>
      <w:pPr>
        <w:numPr>
          <w:ilvl w:val="0"/>
          <w:numId w:val="1004"/>
        </w:numPr>
        <w:pStyle w:val="Compact"/>
      </w:pPr>
      <w:r>
        <w:t xml:space="preserve">Harris, R., &amp; Jackson, C. (2021). "The Economic Case for Community Pharmacy Expansion in Urban New Zealand." *New Zealand Medical Journal*, 134(9), 45-52.</w:t>
      </w:r>
    </w:p>
    <w:p>
      <w:pPr>
        <w:numPr>
          <w:ilvl w:val="0"/>
          <w:numId w:val="1004"/>
        </w:numPr>
        <w:pStyle w:val="Compact"/>
      </w:pPr>
      <w:r>
        <w:t xml:space="preserve">Moh T. (Ministry of Health NZ). (2023). *Primary Care Reform Strategy*. Wellington: Ministry of Health.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New Zealand Auckland</dc:title>
  <dc:creator/>
  <dc:language>en</dc:language>
  <cp:keywords/>
  <dcterms:created xsi:type="dcterms:W3CDTF">2026-07-29T18:41:20Z</dcterms:created>
  <dcterms:modified xsi:type="dcterms:W3CDTF">2026-07-29T18:41:20Z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