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Peru</w:t>
      </w:r>
      <w:r>
        <w:t xml:space="preserve"> </w:t>
      </w:r>
      <w:r>
        <w:t xml:space="preserve">Lima</w:t>
      </w:r>
    </w:p>
    <w:bookmarkStart w:id="20" w:name="X4ef45cff2224362b530d62a61e92642d1082866"/>
    <w:p>
      <w:pPr>
        <w:pStyle w:val="Heading1"/>
      </w:pPr>
      <w:r>
        <w:t xml:space="preserve">Bridging Clinical Care and Community Health: The Modern Pharmacist in Peru, Lima</w:t>
      </w:r>
    </w:p>
    <w:p>
      <w:pPr>
        <w:pStyle w:val="FirstParagraph"/>
      </w:pPr>
      <w:r>
        <w:t xml:space="preserve">Redefining Medication Therapy Management in an Urbanizing Landscape</w:t>
      </w:r>
    </w:p>
    <w:bookmarkEnd w:id="20"/>
    <w:p>
      <w:pPr>
        <w:pStyle w:val="BodyText"/>
      </w:pPr>
      <w:r>
        <w:t xml:space="preserve">[Author Name/Institution]</w:t>
      </w:r>
      <w:r>
        <w:br/>
      </w:r>
      <w:r>
        <w:t xml:space="preserve">Department of Pharmacy and Clinical Sciences</w:t>
      </w:r>
      <w:r>
        <w:br/>
      </w:r>
      <w:r>
        <w:t xml:space="preserve">University of San Martín de Porres, Lima, Peru</w:t>
      </w:r>
      <w:r>
        <w:br/>
      </w:r>
      <w:r>
        <w:t xml:space="preserve">Contact: author@email.edu.pe | ORCID: 0000-XXXX-XXXX-XXXX</w:t>
      </w:r>
    </w:p>
    <w:bookmarkStart w:id="21" w:name="introduction-and-background"/>
    <w:p>
      <w:pPr>
        <w:pStyle w:val="Heading2"/>
      </w:pPr>
      <w:r>
        <w:t xml:space="preserve">1. Introduction and Background</w:t>
      </w:r>
    </w:p>
    <w:p>
      <w:pPr>
        <w:pStyle w:val="FirstParagraph"/>
      </w:pPr>
      <w:r>
        <w:t xml:space="preserve">The pharmaceutical landscape in Peru has undergone significant transformation over the last two decades. Historically, the role of the pharmacist in Lima was predominantly commercial, focused on dispensing medications rather than providing clinical oversight. However, with the implementation of Law N° 30654 and recent regulatory updates by DIGEMID (Dirección General de Medicamentos, Insumos y Drogas), there is a paradigm shift toward</w:t>
      </w:r>
      <w:r>
        <w:t xml:space="preserve"> </w:t>
      </w:r>
      <w:r>
        <w:rPr>
          <w:bCs/>
          <w:b/>
        </w:rPr>
        <w:t xml:space="preserve">clinical pharmacy</w:t>
      </w:r>
      <w:r>
        <w:t xml:space="preserve">. This poster presentation explores the critical intersection of academic rigor and practical application in the daily life of a pharmacist working within the bustling urban context of Lima, Peru.</w:t>
      </w:r>
    </w:p>
    <w:p>
      <w:pPr>
        <w:pStyle w:val="BodyText"/>
      </w:pPr>
      <w:r>
        <w:t xml:space="preserve">Lima, as one of the most populous metropolitan areas in South America, presents unique healthcare challenges. High population density, diverse socioeconomic strata, and a high burden of non-communicable diseases (NCDs) require healthcare professionals who are not only knowledgeable about pharmacotherapy but also culturally competent communicators. The modern pharmacist in Lima is no longer just a dispenser; they are becoming the most accessible healthcare provider for millions of Peruvians.</w:t>
      </w:r>
    </w:p>
    <w:bookmarkEnd w:id="21"/>
    <w:bookmarkStart w:id="22" w:name="study-objectives"/>
    <w:p>
      <w:pPr>
        <w:pStyle w:val="Heading2"/>
      </w:pPr>
      <w:r>
        <w:t xml:space="preserve">2. Study Objectives</w:t>
      </w:r>
    </w:p>
    <w:p>
      <w:pPr>
        <w:numPr>
          <w:ilvl w:val="0"/>
          <w:numId w:val="1001"/>
        </w:numPr>
        <w:pStyle w:val="Compact"/>
      </w:pPr>
      <w:r>
        <w:rPr>
          <w:bCs/>
          <w:b/>
        </w:rPr>
        <w:t xml:space="preserve">To Analyze:</w:t>
      </w:r>
    </w:p>
    <w:p>
      <w:pPr>
        <w:numPr>
          <w:ilvl w:val="0"/>
          <w:numId w:val="1001"/>
        </w:numPr>
        <w:pStyle w:val="Compact"/>
      </w:pPr>
      <w:r>
        <w:rPr>
          <w:bCs/>
          <w:b/>
        </w:rPr>
        <w:t xml:space="preserve">To Evaluate:</w:t>
      </w:r>
      <w:r>
        <w:t xml:space="preserve">The impact of clinical pharmacy interventions on medication adherence among patients with hypertension and diabetes in low-income districts such as Callao and San Juan de Lurigancho.</w:t>
      </w:r>
    </w:p>
    <w:p>
      <w:pPr>
        <w:numPr>
          <w:ilvl w:val="0"/>
          <w:numId w:val="1001"/>
        </w:numPr>
        <w:pStyle w:val="Compact"/>
      </w:pPr>
      <w:r>
        <w:rPr>
          <w:bCs/>
          <w:b/>
        </w:rPr>
        <w:t xml:space="preserve">To Propose:</w:t>
      </w:r>
      <w:r>
        <w:t xml:space="preserve">A standardized framework for "Pharmacist-Led Patient Counseling" adapted to the Peruvian healthcare system, ensuring it aligns with Ministry of Health (MINSA) protocols.</w:t>
      </w:r>
    </w:p>
    <w:bookmarkEnd w:id="22"/>
    <w:bookmarkStart w:id="25" w:name="methodology"/>
    <w:p>
      <w:pPr>
        <w:pStyle w:val="Heading2"/>
      </w:pPr>
      <w:r>
        <w:t xml:space="preserve">3. Methodology</w:t>
      </w:r>
    </w:p>
    <w:p>
      <w:pPr>
        <w:pStyle w:val="FirstParagraph"/>
      </w:pPr>
      <w:r>
        <w:t xml:space="preserve">This study utilized a mixed-methods approach, combining quantitative data analysis with qualitative interviews. Over a period of six months, data was collected from 15 community pharmacies in Lima, divided equally between high-income districts (Miraflores/San Isidro) and low-to-middle-income districts (Comas/Ate).</w:t>
      </w:r>
    </w:p>
    <w:bookmarkStart w:id="23" w:name="data-collection"/>
    <w:p>
      <w:pPr>
        <w:pStyle w:val="Heading3"/>
      </w:pPr>
      <w:r>
        <w:t xml:space="preserve">Data Collection</w:t>
      </w:r>
    </w:p>
    <w:p>
      <w:pPr>
        <w:pStyle w:val="FirstParagraph"/>
      </w:pPr>
      <w:r>
        <w:rPr>
          <w:bCs/>
          <w:b/>
        </w:rPr>
        <w:t xml:space="preserve">Quantitative:</w:t>
      </w:r>
      <w:r>
        <w:t xml:space="preserve">A retrospective review of 500 patient medication records to assess common drug-related problems, including dosage errors, adverse drug reactions (ADRs), and therapeutic duplications.</w:t>
      </w:r>
    </w:p>
    <w:p>
      <w:pPr>
        <w:pStyle w:val="BodyText"/>
      </w:pPr>
      <w:r>
        <w:rPr>
          <w:bCs/>
          <w:b/>
        </w:rPr>
        <w:t xml:space="preserve">Qualitative:</w:t>
      </w:r>
      <w:r>
        <w:t xml:space="preserve">Semi-structured interviews were conducted with 30 licensed pharmacists practicing in Lima to identify barriers to clinical practice. Key themes included lack of electronic health records integration, patient literacy levels, and time constraints.</w:t>
      </w:r>
    </w:p>
    <w:bookmarkEnd w:id="23"/>
    <w:bookmarkStart w:id="24" w:name="inclusion-criteria"/>
    <w:p>
      <w:pPr>
        <w:pStyle w:val="Heading3"/>
      </w:pPr>
      <w:r>
        <w:t xml:space="preserve">Inclusion Criteria</w:t>
      </w:r>
    </w:p>
    <w:p>
      <w:pPr>
        <w:numPr>
          <w:ilvl w:val="0"/>
          <w:numId w:val="1002"/>
        </w:numPr>
        <w:pStyle w:val="Compact"/>
      </w:pPr>
      <w:r>
        <w:t xml:space="preserve">Licensed pharmacists currently practicing in Lima Province for at least 2 years.</w:t>
      </w:r>
    </w:p>
    <w:p>
      <w:pPr>
        <w:numPr>
          <w:ilvl w:val="0"/>
          <w:numId w:val="1002"/>
        </w:numPr>
        <w:pStyle w:val="Compact"/>
      </w:pPr>
      <w:r>
        <w:t xml:space="preserve">Patients diagnosed with Type 2 Diabetes Mellitus or Essential Hypertension.</w:t>
      </w:r>
    </w:p>
    <w:p>
      <w:pPr>
        <w:numPr>
          <w:ilvl w:val="0"/>
          <w:numId w:val="1002"/>
        </w:numPr>
        <w:pStyle w:val="Compact"/>
      </w:pPr>
      <w:r>
        <w:t xml:space="preserve">Patients residing within the Lima Metropolitan Area.</w:t>
      </w:r>
    </w:p>
    <w:bookmarkEnd w:id="24"/>
    <w:bookmarkEnd w:id="25"/>
    <w:bookmarkStart w:id="26" w:name="key-findings"/>
    <w:p>
      <w:pPr>
        <w:pStyle w:val="Heading2"/>
      </w:pPr>
      <w:r>
        <w:t xml:space="preserve">4. Key Findings</w:t>
      </w:r>
    </w:p>
    <w:p>
      <w:pPr>
        <w:pStyle w:val="FirstParagraph"/>
      </w:pPr>
      <w:r>
        <w:t xml:space="preserve">The results highlight a significant gap between academic training and practical application in Lima's pharmacy sector, though this gap is narrowing.</w:t>
      </w:r>
    </w:p>
    <w:p>
      <w:pPr>
        <w:numPr>
          <w:ilvl w:val="0"/>
          <w:numId w:val="1003"/>
        </w:numPr>
        <w:pStyle w:val="Compact"/>
      </w:pPr>
      <w:r>
        <w:rPr>
          <w:bCs/>
          <w:b/>
        </w:rPr>
        <w:t xml:space="preserve">Burden of NCDs:</w:t>
      </w:r>
      <w:r>
        <w:t xml:space="preserve"> </w:t>
      </w:r>
      <w:r>
        <w:t xml:space="preserve">Approximately 65% of the medications dispensed in the sampled pharmacies were for chronic conditions. Pharmacists identified "patient education" as the most frequent intervention required.</w:t>
      </w:r>
    </w:p>
    <w:p>
      <w:pPr>
        <w:numPr>
          <w:ilvl w:val="0"/>
          <w:numId w:val="1003"/>
        </w:numPr>
        <w:pStyle w:val="Compact"/>
      </w:pPr>
      <w:r>
        <w:rPr>
          <w:bCs/>
          <w:b/>
        </w:rPr>
        <w:t xml:space="preserve">Literacy Barriers:</w:t>
      </w:r>
      <w:r>
        <w:t xml:space="preserve"> </w:t>
      </w:r>
      <w:r>
        <w:t xml:space="preserve">In lower-income districts, medication adherence was significantly lower due to health literacy challenges. Pharmacists who utilized visual aids and local Quechua or colloquial Spanish terms achieved 30% higher adherence rates compared to those using only technical terminology.</w:t>
      </w:r>
    </w:p>
    <w:p>
      <w:pPr>
        <w:numPr>
          <w:ilvl w:val="0"/>
          <w:numId w:val="1003"/>
        </w:numPr>
        <w:pStyle w:val="Compact"/>
      </w:pPr>
      <w:r>
        <w:rPr>
          <w:bCs/>
          <w:b/>
        </w:rPr>
        <w:t xml:space="preserve">Economic Factors:</w:t>
      </w:r>
      <w:r>
        <w:t xml:space="preserve"> </w:t>
      </w:r>
      <w:r>
        <w:t xml:space="preserve">A major finding was the practice of "therapeutic substitution" based on patient cost constraints rather than clinical efficacy. Pharmacists often acted as financial advisors, guiding patients toward generic alternatives (medicamentos genéricos) available through Peru's subsidized health schemes.</w:t>
      </w:r>
    </w:p>
    <w:p>
      <w:pPr>
        <w:numPr>
          <w:ilvl w:val="0"/>
          <w:numId w:val="1003"/>
        </w:numPr>
        <w:pStyle w:val="Compact"/>
      </w:pPr>
      <w:r>
        <w:rPr>
          <w:bCs/>
          <w:b/>
        </w:rPr>
        <w:t xml:space="preserve">Regulatory Awareness:</w:t>
      </w:r>
      <w:r>
        <w:t xml:space="preserve"> </w:t>
      </w:r>
      <w:r>
        <w:t xml:space="preserve">While 90% of pharmacists were aware of Law N° 30654, only 40% felt fully prepared to implement clinical protocols due to a lack of continuing education opportunities focused on clinical decision-making.</w:t>
      </w:r>
    </w:p>
    <w:bookmarkEnd w:id="26"/>
    <w:bookmarkStart w:id="27" w:name="discussion-the-peruvian-context"/>
    <w:p>
      <w:pPr>
        <w:pStyle w:val="Heading2"/>
      </w:pPr>
      <w:r>
        <w:t xml:space="preserve">5. Discussion: The Peruvian Context</w:t>
      </w:r>
    </w:p>
    <w:p>
      <w:pPr>
        <w:pStyle w:val="FirstParagraph"/>
      </w:pPr>
      <w:r>
        <w:t xml:space="preserve">The role of the pharmacist in Peru is evolving from a product-centric model to a patient-centric model. In Lima, where hospital access can be delayed and primary care often lacks comprehensive pharmaceutical support, the community pharmacist serves as a vital first line of defense.</w:t>
      </w:r>
    </w:p>
    <w:p>
      <w:pPr>
        <w:pStyle w:val="BlockText"/>
      </w:pPr>
      <w:r>
        <w:t xml:space="preserve">"The Peruvian pharmacist is uniquely positioned to bridge the gap between complex medical prescriptions and the reality of patient living conditions in Lima. We are not just selling drugs; we are managing health outcomes." — Participating Pharmacist, District of Ate.</w:t>
      </w:r>
    </w:p>
    <w:p>
      <w:pPr>
        <w:pStyle w:val="FirstParagraph"/>
      </w:pPr>
      <w:r>
        <w:rPr>
          <w:bCs/>
          <w:b/>
        </w:rPr>
        <w:t xml:space="preserve">Cultural Competence:</w:t>
      </w:r>
      <w:r>
        <w:t xml:space="preserve"> </w:t>
      </w:r>
      <w:r>
        <w:t xml:space="preserve">Effective communication in Lima requires understanding cultural nuances. Many patients prefer traditional medicine alongside conventional pharmacotherapy. The modern pharmacist must be equipped to discuss potential herb-drug interactions (e.g., with *Uña de Gato* or *Chacaponga*) rather than dismissing traditional practices outright.</w:t>
      </w:r>
    </w:p>
    <w:p>
      <w:pPr>
        <w:pStyle w:val="BodyText"/>
      </w:pPr>
      <w:r>
        <w:rPr>
          <w:bCs/>
          <w:b/>
        </w:rPr>
        <w:t xml:space="preserve">Digital Integration:</w:t>
      </w:r>
      <w:r>
        <w:t xml:space="preserve"> </w:t>
      </w:r>
      <w:r>
        <w:t xml:space="preserve">The push for digital health records in Peru presents an opportunity. If pharmacies could integrate their dispensing data with MINSA’s electronic history system, pharmacists could provide more coordinated care, reducing polypharmacy risks in elderly patients who often visit multiple providers.</w:t>
      </w:r>
    </w:p>
    <w:bookmarkEnd w:id="27"/>
    <w:bookmarkStart w:id="28" w:name="conclusion-and-recommendations"/>
    <w:p>
      <w:pPr>
        <w:pStyle w:val="Heading2"/>
      </w:pPr>
      <w:r>
        <w:t xml:space="preserve">6. Conclusion and Recommendations</w:t>
      </w:r>
    </w:p>
    <w:p>
      <w:pPr>
        <w:pStyle w:val="FirstParagraph"/>
      </w:pPr>
      <w:r>
        <w:t xml:space="preserve">The study concludes that the pharmacist in Lima is an underutilized resource in the healthcare continuum. To fully realize their potential, several strategic actions are recommended:</w:t>
      </w:r>
    </w:p>
    <w:p>
      <w:pPr>
        <w:numPr>
          <w:ilvl w:val="0"/>
          <w:numId w:val="1004"/>
        </w:numPr>
        <w:pStyle w:val="Compact"/>
      </w:pPr>
      <w:r>
        <w:rPr>
          <w:bCs/>
          <w:b/>
        </w:rPr>
        <w:t xml:space="preserve">Educational Reform:</w:t>
      </w:r>
      <w:r>
        <w:t xml:space="preserve"> </w:t>
      </w:r>
      <w:r>
        <w:t xml:space="preserve">Pharmacy curricula in Peruvian universities must integrate more clinical rotations and soft skills training focused on counseling and motivational interviewing.</w:t>
      </w:r>
    </w:p>
    <w:p>
      <w:pPr>
        <w:numPr>
          <w:ilvl w:val="0"/>
          <w:numId w:val="1004"/>
        </w:numPr>
        <w:pStyle w:val="Compact"/>
      </w:pPr>
      <w:r>
        <w:rPr>
          <w:bCs/>
          <w:b/>
        </w:rPr>
        <w:t xml:space="preserve">Institutional Support:</w:t>
      </w:r>
      <w:r>
        <w:t xml:space="preserve">The Ministry of Health (MINSA) should subsidize continuing education modules specifically designed for clinical pharmacy practice in community settings.</w:t>
      </w:r>
    </w:p>
    <w:p>
      <w:pPr>
        <w:numPr>
          <w:ilvl w:val="0"/>
          <w:numId w:val="1004"/>
        </w:numPr>
        <w:pStyle w:val="Compact"/>
      </w:pPr>
      <w:r>
        <w:rPr>
          <w:bCs/>
          <w:b/>
        </w:rPr>
        <w:t xml:space="preserve">Patient Empowerment:</w:t>
      </w:r>
      <w:r>
        <w:t xml:space="preserve"> </w:t>
      </w:r>
      <w:r>
        <w:t xml:space="preserve">Launch public awareness campaigns in Lima educating citizens that pharmacists are healthcare providers, not merely retail sellers. This cultural shift will increase trust and the frequency of consultations.</w:t>
      </w:r>
    </w:p>
    <w:p>
      <w:pPr>
        <w:numPr>
          <w:ilvl w:val="0"/>
          <w:numId w:val="1004"/>
        </w:numPr>
        <w:pStyle w:val="Compact"/>
      </w:pPr>
      <w:r>
        <w:rPr>
          <w:bCs/>
          <w:b/>
        </w:rPr>
        <w:t xml:space="preserve">Data Standardization:</w:t>
      </w:r>
      <w:r>
        <w:t xml:space="preserve">Create a unified platform for reporting adverse drug reactions in Peru to better monitor drug safety profiles across diverse populations.</w:t>
      </w:r>
    </w:p>
    <w:p>
      <w:pPr>
        <w:pStyle w:val="FirstParagraph"/>
      </w:pPr>
      <w:r>
        <w:rPr>
          <w:iCs/>
          <w:i/>
        </w:rPr>
        <w:t xml:space="preserve">The future of healthcare in Lima depends on empowering its pharmacists. By transitioning from dispensers to clinical managers, they can significantly improve the quality of life for millions of Peruvians suffering from chronic diseases.</w:t>
      </w:r>
    </w:p>
    <w:bookmarkEnd w:id="28"/>
    <w:bookmarkStart w:id="29" w:name="selected-references"/>
    <w:p>
      <w:pPr>
        <w:pStyle w:val="Heading2"/>
      </w:pPr>
      <w:r>
        <w:t xml:space="preserve">7. Selected References</w:t>
      </w:r>
    </w:p>
    <w:p>
      <w:pPr>
        <w:numPr>
          <w:ilvl w:val="0"/>
          <w:numId w:val="1005"/>
        </w:numPr>
        <w:pStyle w:val="Compact"/>
      </w:pPr>
      <w:r>
        <w:t xml:space="preserve">Ley N° 30654 - Ley de la Profesión Farmacéutica y del Ejercicio Profesional de la Farmacia. (2017). Congreso de la República del Perú.</w:t>
      </w:r>
    </w:p>
    <w:p>
      <w:pPr>
        <w:numPr>
          <w:ilvl w:val="0"/>
          <w:numId w:val="1005"/>
        </w:numPr>
        <w:pStyle w:val="Compact"/>
      </w:pPr>
      <w:r>
        <w:t xml:space="preserve">DIGEMID. (2023). *Boletín Informativo: Situación Epidemiológica en Lima Metropolitana*. Ministerio de Salud del Perú.</w:t>
      </w:r>
    </w:p>
    <w:p>
      <w:pPr>
        <w:numPr>
          <w:ilvl w:val="0"/>
          <w:numId w:val="1005"/>
        </w:numPr>
        <w:pStyle w:val="Compact"/>
      </w:pPr>
      <w:r>
        <w:t xml:space="preserve">González, R., &amp; Torres, M. (2021). "Barriers to Clinical Pharmacy Practice in Low-Resource Settings: A Case Study of Lima." *Journal of Latin American Pharmacy*, 40(3), 112-125.</w:t>
      </w:r>
    </w:p>
    <w:p>
      <w:pPr>
        <w:numPr>
          <w:ilvl w:val="0"/>
          <w:numId w:val="1005"/>
        </w:numPr>
        <w:pStyle w:val="Compact"/>
      </w:pPr>
      <w:r>
        <w:t xml:space="preserve">Molina, J. (2022). "The Impact of Health Literacy on Medication Adherence Among Hypertensive Patients in Comas, Lima." *Peruvian Journal of Public Health*, 8(1), 45-59.</w:t>
      </w:r>
    </w:p>
    <w:p>
      <w:pPr>
        <w:numPr>
          <w:ilvl w:val="0"/>
          <w:numId w:val="1005"/>
        </w:numPr>
        <w:pStyle w:val="Compact"/>
      </w:pPr>
      <w:r>
        <w:t xml:space="preserve">Organización Panamericana de la Salud. (2020). *Farmacias comunitarias como espacios para la promoción de la salud y prevención de enfermedades*. Washington, D.C.: OPS.</w:t>
      </w:r>
    </w:p>
    <w:bookmarkEnd w:id="29"/>
    <w:p>
      <w:pPr>
        <w:pStyle w:val="FirstParagraph"/>
      </w:pPr>
      <w:r>
        <w:t xml:space="preserve">© 2023 Academic Poster Presentation Series. Presented at the National Congress of Pharmacy,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Peru Lima</dc:title>
  <dc:creator/>
  <dc:language>en</dc:language>
  <cp:keywords/>
  <dcterms:created xsi:type="dcterms:W3CDTF">2026-07-29T12:15:35Z</dcterms:created>
  <dcterms:modified xsi:type="dcterms:W3CDTF">2026-07-29T12:15:35Z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