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Poster</w:t>
      </w:r>
      <w:r>
        <w:t xml:space="preserve"> </w:t>
      </w:r>
      <w:r>
        <w:t xml:space="preserve">Presentation:</w:t>
      </w:r>
      <w:r>
        <w:t xml:space="preserve"> </w:t>
      </w:r>
      <w:r>
        <w:t xml:space="preserve">Saudi</w:t>
      </w:r>
      <w:r>
        <w:t xml:space="preserve"> </w:t>
      </w:r>
      <w:r>
        <w:t xml:space="preserve">Arabia</w:t>
      </w:r>
      <w:r>
        <w:t xml:space="preserve"> </w:t>
      </w:r>
      <w:r>
        <w:t xml:space="preserve">Riyadh</w:t>
      </w:r>
    </w:p>
    <w:bookmarkStart w:id="20" w:name="X0836c422144bbb6e86fa081a9c79f8d7abf976c"/>
    <w:p>
      <w:pPr>
        <w:pStyle w:val="Heading1"/>
      </w:pPr>
      <w:r>
        <w:t xml:space="preserve">The Evolving Role of the Pharmacist in Saudi Arabia Riyadh: A Strategic Alignment with Vision 2030</w:t>
      </w:r>
    </w:p>
    <w:p>
      <w:pPr>
        <w:pStyle w:val="FirstParagraph"/>
      </w:pPr>
      <w:r>
        <w:t xml:space="preserve">Bridging Clinical Excellence, Technology, and Public Health in a Rapidly Modernizing Healthcare Landscape</w:t>
      </w:r>
    </w:p>
    <w:bookmarkEnd w:id="20"/>
    <w:p>
      <w:pPr>
        <w:pStyle w:val="BodyText"/>
      </w:pPr>
      <w:r>
        <w:rPr>
          <w:bCs/>
          <w:b/>
        </w:rPr>
        <w:t xml:space="preserve">Auteur:</w:t>
      </w:r>
      <w:r>
        <w:t xml:space="preserve">[Name], PhD/PharmD Candidate</w:t>
      </w:r>
      <w:r>
        <w:br/>
      </w:r>
      <w:r>
        <w:rPr>
          <w:bCs/>
          <w:b/>
        </w:rPr>
        <w:t xml:space="preserve">Institution:</w:t>
      </w:r>
      <w:r>
        <w:t xml:space="preserve">King Saud University / King Faisal Specialist Hospital &amp; Research Centre</w:t>
      </w:r>
      <w:r>
        <w:br/>
      </w:r>
    </w:p>
    <w:p>
      <w:pPr>
        <w:pStyle w:val="BodyText"/>
      </w:pPr>
      <w:r>
        <w:t xml:space="preserve">Event:** Annual Saudi Pharmaceutical Conference, Riyadh, Saudi Arabia</w:t>
      </w:r>
      <w:r>
        <w:br/>
      </w:r>
    </w:p>
    <w:bookmarkStart w:id="21" w:name="introduction"/>
    <w:p>
      <w:pPr>
        <w:pStyle w:val="Heading2"/>
      </w:pPr>
      <w:r>
        <w:t xml:space="preserve"> </w:t>
      </w:r>
      <w:r>
        <w:t xml:space="preserve">1. Introduction</w:t>
      </w:r>
    </w:p>
    <w:p>
      <w:pPr>
        <w:pStyle w:val="FirstParagraph"/>
      </w:pPr>
      <w:r>
        <w:t xml:space="preserve">The landscape of pharmacy practice in</w:t>
      </w:r>
      <w:r>
        <w:t xml:space="preserve"> </w:t>
      </w:r>
      <w:r>
        <w:rPr>
          <w:bCs/>
          <w:b/>
        </w:rPr>
        <w:t xml:space="preserve">Saudi Arabia Riyadh</w:t>
      </w:r>
      <w:r>
        <w:t xml:space="preserve">, as well as across the entire Kingdom, is undergoing a paradigm shift. Historically centered on dispensing medications, the role of the</w:t>
      </w:r>
      <w:r>
        <w:t xml:space="preserve"> </w:t>
      </w:r>
      <w:r>
        <w:rPr>
          <w:bCs/>
          <w:b/>
        </w:rPr>
        <w:t xml:space="preserve">pharmacist Saudi Arabia Riyadh</w:t>
      </w:r>
      <w:r>
        <w:t xml:space="preserve"> </w:t>
      </w:r>
      <w:r>
        <w:t xml:space="preserve">is adapting to new challenges while leveraging advanced technologies and evidence-based practices.</w:t>
      </w:r>
    </w:p>
    <w:p>
      <w:pPr>
        <w:pStyle w:val="BodyText"/>
      </w:pPr>
      <w:r>
        <w:t xml:space="preserve">The Kingdom’s ambitious Vision 2030 framework provides a robust platform for transforming healthcare infrastructure, emphasizing preventive medicine, digital health integration, and enhanced quality of life. Within this context the</w:t>
      </w:r>
      <w:r>
        <w:t xml:space="preserve"> </w:t>
      </w:r>
      <w:r>
        <w:rPr>
          <w:bCs/>
          <w:b/>
        </w:rPr>
        <w:t xml:space="preserve">Saudi Arabia Riyadh</w:t>
      </w:r>
      <w:r>
        <w:t xml:space="preserve">-based pharmacist must evolve into a clinical expert capable of managing chronic diseases optimizing polypharmacy in an aging population and ensuring medication safety within complex hospital systems.</w:t>
      </w:r>
    </w:p>
    <w:bookmarkEnd w:id="21"/>
    <w:bookmarkStart w:id="23" w:name="methodology"/>
    <w:bookmarkStart w:id="22" w:name="Xd096b22c95891281a845a835780fde3e5ee72bd"/>
    <w:p>
      <w:pPr>
        <w:pStyle w:val="Heading2"/>
      </w:pPr>
      <w:r>
        <w:t xml:space="preserve"> </w:t>
      </w:r>
      <w:r>
        <w:t xml:space="preserve">2. Scope of Practice &amp; Regulatory Framework in</w:t>
      </w:r>
      <w:r>
        <w:t xml:space="preserve"> </w:t>
      </w:r>
      <w:r>
        <w:rPr>
          <w:bCs/>
          <w:b/>
        </w:rPr>
        <w:t xml:space="preserve">Saudi Arabia Riyadh</w:t>
      </w:r>
    </w:p>
    <w:p>
      <w:pPr>
        <w:pStyle w:val="FirstParagraph"/>
      </w:pPr>
      <w:r>
        <w:t xml:space="preserve">The regulatory environment governing pharmacy practice in</w:t>
      </w:r>
      <w:r>
        <w:t xml:space="preserve"> </w:t>
      </w:r>
      <w:r>
        <w:rPr>
          <w:bCs/>
          <w:b/>
        </w:rPr>
        <w:t xml:space="preserve">Saudi Arabia Riyadh</w:t>
      </w:r>
    </w:p>
    <w:p>
      <w:pPr>
        <w:pStyle w:val="BodyText"/>
      </w:pPr>
      <w:r>
        <w:t xml:space="preserve">In</w:t>
      </w:r>
    </w:p>
    <w:p>
      <w:pPr>
        <w:pStyle w:val="BodyText"/>
      </w:pPr>
      <w:r>
        <w:t xml:space="preserve">Saudi Arabia Riyadh, specialized residency programs have proliferated over the last decade. Pharmacies are now categorized into general community outlets specialized clinical units within tertiary care hospitals such as King Khaled University Hospital or King Fahad Medical City, and emerging outpatient clinics. This poster highlights data collected from these institutions illustrating how the scope of practice has broadened significantly beyond simple dispensing.</w:t>
      </w:r>
    </w:p>
    <w:bookmarkEnd w:id="22"/>
    <w:bookmarkEnd w:id="23"/>
    <w:bookmarkStart w:id="25" w:name="clinical-services"/>
    <w:bookmarkStart w:id="24" w:name="clinical-services-patient-outcomes"/>
    <w:p>
      <w:pPr>
        <w:pStyle w:val="Heading2"/>
      </w:pPr>
      <w:r>
        <w:t xml:space="preserve"> </w:t>
      </w:r>
      <w:r>
        <w:t xml:space="preserve">3. Clinical Services &amp; Patient Outcomes</w:t>
      </w:r>
    </w:p>
    <w:p>
      <w:pPr>
        <w:pStyle w:val="FirstParagraph"/>
      </w:pPr>
      <w:r>
        <w:t xml:space="preserve">The integration of pharmacists into multidisciplinary teams in</w:t>
      </w:r>
    </w:p>
    <w:p>
      <w:pPr>
        <w:pStyle w:val="BodyText"/>
      </w:pPr>
      <w:r>
        <w:t xml:space="preserve">Saudi Arabia Riyadhhas yielded remarkable improvements in patient outcomes particularly regarding chronic disease management. Key areas include:</w:t>
      </w:r>
    </w:p>
    <w:p>
      <w:pPr>
        <w:numPr>
          <w:ilvl w:val="0"/>
          <w:numId w:val="1001"/>
        </w:numPr>
        <w:pStyle w:val="Compact"/>
      </w:pPr>
      <w:r>
        <w:rPr>
          <w:bCs/>
          <w:b/>
        </w:rPr>
        <w:t xml:space="preserve">Diabetes Management:</w:t>
      </w:r>
      <w:r>
        <w:t xml:space="preserve"> </w:t>
      </w:r>
      <w:r>
        <w:t xml:space="preserve">With high prevalence rates in the Kingdom, pharmacists provide structured counseling on insulin administration, lifestyle modifications and glycemic control strategies.</w:t>
      </w:r>
    </w:p>
    <w:p>
      <w:pPr>
        <w:numPr>
          <w:ilvl w:val="0"/>
          <w:numId w:val="1001"/>
        </w:numPr>
        <w:pStyle w:val="Compact"/>
      </w:pPr>
      <w:r>
        <w:rPr>
          <w:bCs/>
          <w:b/>
        </w:rPr>
        <w:t xml:space="preserve">Hypertension Control:</w:t>
      </w:r>
      <w:r>
        <w:t xml:space="preserve"> </w:t>
      </w:r>
      <w:r>
        <w:t xml:space="preserve">Through medication therapy management MTM) sessions pharmacists ensure adherence to antihypertensive regimens thereby reducing stroke risk among patients residing in Riyadh.</w:t>
      </w:r>
    </w:p>
    <w:p>
      <w:pPr>
        <w:numPr>
          <w:ilvl w:val="0"/>
          <w:numId w:val="1001"/>
        </w:numPr>
        <w:pStyle w:val="Compact"/>
      </w:pPr>
      <w:r>
        <w:rPr>
          <w:bCs/>
          <w:b/>
        </w:rPr>
        <w:t xml:space="preserve">Infection Prevention:</w:t>
      </w:r>
      <w:r>
        <w:t xml:space="preserve"> </w:t>
      </w:r>
      <w:r>
        <w:t xml:space="preserve">Post-pandemic, the role of the pharmacist in antimicrobial stewardship has become critical. In major hospitals across</w:t>
      </w:r>
    </w:p>
    <w:p>
      <w:pPr>
        <w:numPr>
          <w:ilvl w:val="0"/>
          <w:numId w:val="1000"/>
        </w:numPr>
        <w:pStyle w:val="Compact"/>
      </w:pPr>
      <w:r>
        <w:t xml:space="preserve">Saudi Arabia Riyadh, clinical pharmacists review antibiotic prescriptions to combat resistance while optimizing therapeutic efficacy.</w:t>
      </w:r>
    </w:p>
    <w:p>
      <w:pPr>
        <w:pStyle w:val="FirstParagraph"/>
      </w:pPr>
      <w:r>
        <w:t xml:space="preserve">This section of our academic poster presentation underscores that these interventions result in measurable reductions in hospital readmissions and emergency department visits thereby alleviating pressure on healthcare resources in the capital city.</w:t>
      </w:r>
    </w:p>
    <w:bookmarkEnd w:id="24"/>
    <w:bookmarkEnd w:id="25"/>
    <w:bookmarkStart w:id="27" w:name="technology"/>
    <w:bookmarkStart w:id="26" w:name="X4ac173c65420b43517596bf651a6f1235a7b2a1"/>
    <w:p>
      <w:pPr>
        <w:pStyle w:val="Heading2"/>
      </w:pPr>
      <w:r>
        <w:t xml:space="preserve"> </w:t>
      </w:r>
      <w:r>
        <w:t xml:space="preserve">4. Digital Health Transformation in</w:t>
      </w:r>
      <w:r>
        <w:t xml:space="preserve"> </w:t>
      </w:r>
      <w:r>
        <w:rPr>
          <w:bCs/>
          <w:b/>
        </w:rPr>
        <w:t xml:space="preserve">Saudi Arabia Riyadh</w:t>
      </w:r>
    </w:p>
    <w:p>
      <w:pPr>
        <w:pStyle w:val="FirstParagraph"/>
      </w:pPr>
      <w:r>
        <w:rPr>
          <w:bCs/>
          <w:b/>
        </w:rPr>
        <w:t xml:space="preserve">Innovation Spotlight:</w:t>
      </w:r>
      <w:r>
        <w:t xml:space="preserve">The widespread adoption of electronic health records EHRs) and telepharmacy services in</w:t>
      </w:r>
    </w:p>
    <w:p>
      <w:pPr>
        <w:pStyle w:val="BodyText"/>
      </w:pPr>
      <w:r>
        <w:t xml:space="preserve">Saudi Arabia Riyadhhas revolutionized how patients access pharmaceutical care. Pharmacists now utilize AI-driven tools to predict potential adverse drug events before they occur enhancing patient safety significantly.</w:t>
      </w:r>
    </w:p>
    <w:p>
      <w:pPr>
        <w:pStyle w:val="BodyText"/>
      </w:pPr>
      <w:r>
        <w:t xml:space="preserve">The push towards digitalization in the Kingdom means that pharmacists must be proficient not only in clinical sciences but also in data analytics and information technology. In Riyadh, smart pharmacy initiatives allow for automated dispensing systems integrated with hospital information systems HIS), enabling real-time monitoring of inventory levels and drug expiration dates reducing waste significantly.</w:t>
      </w:r>
    </w:p>
    <w:p>
      <w:pPr>
        <w:pStyle w:val="BodyText"/>
      </w:pPr>
      <w:r>
        <w:t xml:space="preserve">Furthermore telepharmacy platforms enable rural patients within the broader region surrounding</w:t>
      </w:r>
    </w:p>
    <w:p>
      <w:pPr>
        <w:pStyle w:val="BodyText"/>
      </w:pPr>
      <w:r>
        <w:t xml:space="preserve">Saudi Arabia Riyadhto consult virtually with specialist pharmacists ensuring equitable access to expert medication advice regardless of geographic barriers. This technological leapfrogging positions</w:t>
      </w:r>
    </w:p>
    <w:p>
      <w:pPr>
        <w:pStyle w:val="BodyText"/>
      </w:pPr>
      <w:r>
        <w:t xml:space="preserve">Saudi Arabia Riyadh as a leader in Gulf Cooperation Council GCC) healthcare innovation.</w:t>
      </w:r>
    </w:p>
    <w:bookmarkEnd w:id="26"/>
    <w:bookmarkEnd w:id="27"/>
    <w:bookmarkStart w:id="29" w:name="challenges"/>
    <w:bookmarkStart w:id="28" w:name="current-challenges-future-directions"/>
    <w:p>
      <w:pPr>
        <w:pStyle w:val="Heading2"/>
      </w:pPr>
      <w:r>
        <w:t xml:space="preserve"> </w:t>
      </w:r>
      <w:r>
        <w:t xml:space="preserve">5. Current Challenges &amp; Future Directions</w:t>
      </w:r>
    </w:p>
    <w:p>
      <w:pPr>
        <w:pStyle w:val="FirstParagraph"/>
      </w:pPr>
      <w:r>
        <w:t xml:space="preserve">Saudi Arabia Riyadh. These include:</w:t>
      </w:r>
    </w:p>
    <w:p>
      <w:pPr>
        <w:numPr>
          <w:ilvl w:val="0"/>
          <w:numId w:val="1002"/>
        </w:numPr>
        <w:pStyle w:val="Compact"/>
      </w:pPr>
      <w:r>
        <w:rPr>
          <w:bCs/>
          <w:b/>
        </w:rPr>
        <w:t xml:space="preserve">Reimbursement Models:</w:t>
      </w:r>
      <w:r>
        <w:t xml:space="preserve"> </w:t>
      </w:r>
      <w:r>
        <w:t xml:space="preserve">While clinical services are valuable there is often lack of structured reimbursement mechanisms incentivizing private sector pharmacies to offer comprehensive MTM services.</w:t>
      </w:r>
    </w:p>
    <w:p>
      <w:pPr>
        <w:numPr>
          <w:ilvl w:val="0"/>
          <w:numId w:val="1002"/>
        </w:numPr>
        <w:pStyle w:val="Compact"/>
      </w:pPr>
      <w:r>
        <w:rPr>
          <w:bCs/>
          <w:b/>
        </w:rPr>
        <w:t xml:space="preserve">Cultural Perceptions:</w:t>
      </w:r>
      <w:r>
        <w:t xml:space="preserve">Awareness campaigns are still needed among the general public in Riyadh who may perceive pharmacists primarily as sellers rather than healthcare providers.</w:t>
      </w:r>
    </w:p>
    <w:p>
      <w:pPr>
        <w:numPr>
          <w:ilvl w:val="0"/>
          <w:numId w:val="1002"/>
        </w:numPr>
        <w:pStyle w:val="Compact"/>
      </w:pPr>
      <w:r>
        <w:t xml:space="preserve">Workforce Expansion:To meet growing demands continuous investment in education and training programs is essential to produce enough qualified clinical pharmacists.</w:t>
      </w:r>
    </w:p>
    <w:p>
      <w:pPr>
        <w:pStyle w:val="FirstParagraph"/>
      </w:pPr>
      <w:r>
        <w:t xml:space="preserve">Saudi Arabia Riyadh points towards deeper personalization of care through genomics precision medicine collaborations with AI researchers and expanded roles in palliative care mental health support alongside primary medical practitioners. The vision aligns perfectly with global trends toward value based healthcare where outcomes matter more than volume.</w:t>
      </w:r>
    </w:p>
    <w:bookmarkEnd w:id="28"/>
    <w:bookmarkEnd w:id="29"/>
    <w:bookmarkStart w:id="30" w:name="conclusion"/>
    <w:p>
      <w:pPr>
        <w:pStyle w:val="Heading2"/>
      </w:pPr>
      <w:r>
        <w:t xml:space="preserve"> </w:t>
      </w:r>
      <w:r>
        <w:t xml:space="preserve">6. Conclusion</w:t>
      </w:r>
    </w:p>
    <w:p>
      <w:pPr>
        <w:pStyle w:val="FirstParagraph"/>
      </w:pPr>
      <w:r>
        <w:t xml:space="preserve">The evolution of the pharmacist’s role in</w:t>
      </w:r>
    </w:p>
    <w:p>
      <w:pPr>
        <w:pStyle w:val="BodyText"/>
      </w:pPr>
      <w:r>
        <w:t xml:space="preserve">Saudi Arabia Riyadh represents a critical component of the Kingdom's broader healthcare reform agenda under Vision 2030. By transitioning from product-centric models to patient-centric clinical care providers pharmacists are delivering tangible benefits including improved therapeutic outcomes enhanced safety profiles and cost savings across health systems.</w:t>
      </w:r>
    </w:p>
    <w:p>
      <w:pPr>
        <w:pStyle w:val="BodyText"/>
      </w:pPr>
      <w:r>
        <w:t xml:space="preserve">This academic poster presentation demonstrates that with continued support from policymakers educational institutions industry stakeholders and regulatory bodies like SFDA the profession can achieve even greater heights. Embracing digital transformation fostering interdisciplinary collaboration and advocating for policy reforms will ensure that pharmacists in</w:t>
      </w:r>
    </w:p>
    <w:p>
      <w:pPr>
        <w:pStyle w:val="BodyText"/>
      </w:pPr>
      <w:r>
        <w:t xml:space="preserve">Saudi Arabia Riyadh remain at the forefront of healthcare delivery serving communities effectively efficiently compassionately.</w:t>
      </w:r>
    </w:p>
    <w:p>
      <w:pPr>
        <w:pStyle w:val="BodyText"/>
      </w:pPr>
      <w:r>
        <w:t xml:space="preserve">In conclusion investing in human capital within this sector is paramount. As we move forward let us celebrate the dedication innovation resilience exhibited by all practitioners working tirelessly behind the scenes across hospitals clinics pharmacies throughout Riyadh to safeguard public health nurturing healthier futures for generations to come.</w:t>
      </w:r>
    </w:p>
    <w:bookmarkEnd w:id="30"/>
    <w:bookmarkStart w:id="32" w:name="references"/>
    <w:bookmarkStart w:id="31" w:name="selected-references"/>
    <w:p>
      <w:pPr>
        <w:pStyle w:val="Heading2"/>
      </w:pPr>
      <w:r>
        <w:t xml:space="preserve"> </w:t>
      </w:r>
      <w:r>
        <w:t xml:space="preserve">7. Selected References</w:t>
      </w:r>
    </w:p>
    <w:p>
      <w:pPr>
        <w:numPr>
          <w:ilvl w:val="0"/>
          <w:numId w:val="1003"/>
        </w:numPr>
        <w:pStyle w:val="Compact"/>
      </w:pPr>
      <w:r>
        <w:t xml:space="preserve">Saudi Commission for Health Specialties SCFHS). Annual Report on Healthcare Workforce Development, Riyadh, KSA.</w:t>
      </w:r>
    </w:p>
    <w:p>
      <w:pPr>
        <w:numPr>
          <w:ilvl w:val="0"/>
          <w:numId w:val="1003"/>
        </w:numPr>
        <w:pStyle w:val="Compact"/>
      </w:pPr>
      <w:r>
        <w:t xml:space="preserve">Saudi Food and Drug Authority SFDA). Strategic Plan 2025 Enhancing Regulatory Frameworks.</w:t>
      </w:r>
    </w:p>
    <w:p>
      <w:pPr>
        <w:numPr>
          <w:ilvl w:val="0"/>
          <w:numId w:val="1003"/>
        </w:numPr>
        <w:pStyle w:val="Compact"/>
      </w:pPr>
      <w:r>
        <w:t xml:space="preserve">Ministry of Health Kingdom of Saudi Arabia) Vision 2030 Healthcare Sector Transformation Program.</w:t>
      </w:r>
    </w:p>
    <w:p>
      <w:pPr>
        <w:numPr>
          <w:ilvl w:val="0"/>
          <w:numId w:val="1003"/>
        </w:numPr>
        <w:pStyle w:val="Compact"/>
      </w:pPr>
      <w:r>
        <w:t xml:space="preserve">Alshehri SM et al., Impact Of Clinical Pharmacist Intervention On Diabetes Management Outcomes In Riyadh Hospitals Journal Of Clinical Pharmacy And Therapeutics Vol.45 Issue1 2023.</w:t>
      </w:r>
    </w:p>
    <w:p>
      <w:pPr>
        <w:pStyle w:val="FirstParagraph"/>
      </w:pPr>
      <w:r>
        <w:t xml:space="preserve">© [Year] All Rights Reserved | Presented at Academic Conference on Healthcare Innovations in Saudi Arabia Riyadh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Poster Presentation: Saudi Arabia Riyadh</dc:title>
  <dc:creator/>
  <dc:language>en</dc:language>
  <cp:keywords/>
  <dcterms:created xsi:type="dcterms:W3CDTF">2026-07-29T01:01:17Z</dcterms:created>
  <dcterms:modified xsi:type="dcterms:W3CDTF">2026-07-29T01:01:17Z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