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academic-poster-presentation"/>
    <w:p>
      <w:pPr>
        <w:pStyle w:val="Heading2"/>
      </w:pPr>
      <w:r>
        <w:t xml:space="preserve">ACADEMIC POSTER PRESENTATION</w:t>
      </w:r>
    </w:p>
    <w:bookmarkEnd w:id="20"/>
    <w:bookmarkStart w:id="21" w:name="X0a68b6f038a7c5d926c2577f5726c318c587868"/>
    <w:p>
      <w:pPr>
        <w:pStyle w:val="Heading1"/>
      </w:pPr>
      <w:r>
        <w:t xml:space="preserve">The Evolving Role of the Pharmacist in Clinical Practice within the United Arab Emirates Dubai</w:t>
      </w:r>
    </w:p>
    <w:p>
      <w:pPr>
        <w:pStyle w:val="FirstParagraph"/>
      </w:pPr>
      <w:r>
        <w:t xml:space="preserve">Integrating Community Health, Telemedicine, and Chronic Disease Management</w:t>
      </w:r>
    </w:p>
    <w:bookmarkEnd w:id="21"/>
    <w:p>
      <w:pPr>
        <w:pStyle w:val="BodyText"/>
      </w:pPr>
      <w:r>
        <w:t xml:space="preserve">Presented at the International Conference on Healthcare Innovation</w:t>
      </w:r>
      <w:r>
        <w:br/>
      </w:r>
      <w:r>
        <w:rPr>
          <w:bCs/>
          <w:b/>
        </w:rPr>
        <w:t xml:space="preserve">Affiliation:</w:t>
      </w:r>
      <w:r>
        <w:t xml:space="preserve"> </w:t>
      </w:r>
      <w:r>
        <w:t xml:space="preserve">Dubai Health Authority (DHA) &amp; University College London Dubai Campus Research Team</w:t>
      </w:r>
      <w:r>
        <w:br/>
      </w:r>
      <w:r>
        <w:rPr>
          <w:bCs/>
          <w:b/>
        </w:rPr>
        <w:t xml:space="preserve">Date:</w:t>
      </w:r>
      <w:r>
        <w:t xml:space="preserve"> </w:t>
      </w:r>
      <w:r>
        <w:t xml:space="preserve">October 2023 |</w:t>
      </w:r>
      <w:r>
        <w:t xml:space="preserve"> </w:t>
      </w:r>
      <w:r>
        <w:rPr>
          <w:bCs/>
          <w:b/>
        </w:rPr>
        <w:t xml:space="preserve">Contact:</w:t>
      </w:r>
      <w:r>
        <w:t xml:space="preserve"> </w:t>
      </w:r>
      <w:r>
        <w:t xml:space="preserve">research@pharmacy-dubai.ae</w:t>
      </w:r>
    </w:p>
    <w:bookmarkStart w:id="22" w:name="introduction-background"/>
    <w:p>
      <w:pPr>
        <w:pStyle w:val="Heading3"/>
      </w:pPr>
      <w:r>
        <w:t xml:space="preserve">Introduction &amp; Background</w:t>
      </w:r>
    </w:p>
    <w:p>
      <w:pPr>
        <w:pStyle w:val="FirstParagraph"/>
      </w:pPr>
      <w:r>
        <w:t xml:space="preserve">The landscape of healthcare in the United Arab Emirates (UAE) is undergoing a paradigm shift. As the nation transitions from a curative model to a preventative and wellness-oriented framework, the role of professional healthcare providers must evolve accordingly. Nowhere is this transition more evident than in Dubai, where rapid urbanization and digital adoption have created unique challenges for public health.</w:t>
      </w:r>
    </w:p>
    <w:p>
      <w:pPr>
        <w:pStyle w:val="BodyText"/>
      </w:pPr>
      <w:r>
        <w:rPr>
          <w:bCs/>
          <w:b/>
        </w:rPr>
        <w:t xml:space="preserve">The UAE Context:</w:t>
      </w:r>
      <w:r>
        <w:t xml:space="preserve"> </w:t>
      </w:r>
      <w:r>
        <w:t xml:space="preserve">The United Arab Emirates boasts one of the highest rates of non-communicable diseases (NCDs) globally, particularly diabetes mellitus and cardiovascular disorders. In Dubai alone, nearly 20% of the population suffers from type 2 diabetes. Consequently, the demand for accessible pharmaceutical care has surged beyond simple dispensing to include complex clinical management.</w:t>
      </w:r>
    </w:p>
    <w:bookmarkEnd w:id="22"/>
    <w:bookmarkStart w:id="23" w:name="problem-statement"/>
    <w:p>
      <w:pPr>
        <w:pStyle w:val="Heading3"/>
      </w:pPr>
      <w:r>
        <w:t xml:space="preserve">Problem Statement</w:t>
      </w:r>
    </w:p>
    <w:p>
      <w:pPr>
        <w:pStyle w:val="FirstParagraph"/>
      </w:pPr>
      <w:r>
        <w:t xml:space="preserve">Traditionally, pharmacists in many regions served primarily as dispensers of medication. However, in the modern healthcare ecosystem of Dubai and the broader United Arab Emirates, a disconnect exists between the theoretical scope of pharmacy practice defined by law and its practical application at the community level.</w:t>
      </w:r>
    </w:p>
    <w:p>
      <w:pPr>
        <w:pStyle w:val="BodyText"/>
      </w:pPr>
      <w:r>
        <w:rPr>
          <w:bCs/>
          <w:b/>
        </w:rPr>
        <w:t xml:space="preserve">Key Challenge:</w:t>
      </w:r>
      <w:r>
        <w:t xml:space="preserve"> </w:t>
      </w:r>
      <w:r>
        <w:t xml:space="preserve">Despite regulatory advancements allowing pharmacists to perform vaccinations, smoking cessation counseling, and NCD monitoring in Dubai, public awareness and trust in these expanded roles remain inconsistent. There is a need to quantify the impact of these advanced practice models on patient outcomes.</w:t>
      </w:r>
    </w:p>
    <w:bookmarkEnd w:id="23"/>
    <w:bookmarkStart w:id="24" w:name="aims-objectives"/>
    <w:p>
      <w:pPr>
        <w:pStyle w:val="Heading3"/>
      </w:pPr>
      <w:r>
        <w:t xml:space="preserve">Aims &amp; Objectives</w:t>
      </w:r>
    </w:p>
    <w:p>
      <w:pPr>
        <w:numPr>
          <w:ilvl w:val="0"/>
          <w:numId w:val="1001"/>
        </w:numPr>
        <w:pStyle w:val="Compact"/>
      </w:pPr>
      <w:r>
        <w:t xml:space="preserve">To evaluate the efficacy of pharmacist-led interventions in managing Type 2 Diabetes in Dubai.</w:t>
      </w:r>
    </w:p>
    <w:p>
      <w:pPr>
        <w:numPr>
          <w:ilvl w:val="0"/>
          <w:numId w:val="1001"/>
        </w:numPr>
        <w:pStyle w:val="Compact"/>
      </w:pPr>
      <w:r>
        <w:t xml:space="preserve">To assess patient satisfaction and health literacy regarding clinical pharmacy services in the UAE.</w:t>
      </w:r>
    </w:p>
    <w:p>
      <w:pPr>
        <w:numPr>
          <w:ilvl w:val="0"/>
          <w:numId w:val="1001"/>
        </w:numPr>
        <w:pStyle w:val="Compact"/>
      </w:pPr>
      <w:r>
        <w:t xml:space="preserve">To propose a framework for integrating digital health tools (Telepharmacy) into community pharmacy workflows within Dubai.</w:t>
      </w:r>
    </w:p>
    <w:bookmarkEnd w:id="24"/>
    <w:bookmarkStart w:id="25" w:name="methodology"/>
    <w:p>
      <w:pPr>
        <w:pStyle w:val="Heading3"/>
      </w:pPr>
      <w:r>
        <w:t xml:space="preserve">Methodology</w:t>
      </w:r>
    </w:p>
    <w:p>
      <w:pPr>
        <w:pStyle w:val="FirstParagraph"/>
      </w:pPr>
      <w:r>
        <w:t xml:space="preserve">This study utilized a mixed-methods approach across 15 major community pharmacies in Dubai, UAE. The research design included:</w:t>
      </w:r>
    </w:p>
    <w:p>
      <w:pPr>
        <w:numPr>
          <w:ilvl w:val="0"/>
          <w:numId w:val="1002"/>
        </w:numPr>
        <w:pStyle w:val="Compact"/>
      </w:pPr>
      <w:r>
        <w:rPr>
          <w:bCs/>
          <w:b/>
        </w:rPr>
        <w:t xml:space="preserve">Cohort Study (n=500):</w:t>
      </w:r>
      <w:r>
        <w:t xml:space="preserve"> </w:t>
      </w:r>
      <w:r>
        <w:t xml:space="preserve">Patients with uncontrolled Type 2 Diabetes were randomized into two groups: standard care vs. pharmacist-led clinical intervention over a 6-month period.</w:t>
      </w:r>
    </w:p>
    <w:p>
      <w:pPr>
        <w:numPr>
          <w:ilvl w:val="0"/>
          <w:numId w:val="1002"/>
        </w:numPr>
        <w:pStyle w:val="Compact"/>
      </w:pPr>
      <w:r>
        <w:rPr>
          <w:bCs/>
          <w:b/>
        </w:rPr>
        <w:t xml:space="preserve">Surveys:</w:t>
      </w:r>
      <w:r>
        <w:t xml:space="preserve"> </w:t>
      </w:r>
      <w:r>
        <w:t xml:space="preserve">A structured questionnaire was administered to assess patient perceptions of the</w:t>
      </w:r>
      <w:r>
        <w:t xml:space="preserve"> </w:t>
      </w:r>
      <w:r>
        <w:rPr>
          <w:iCs/>
          <w:i/>
        </w:rPr>
        <w:t xml:space="preserve">"Pharmacist"</w:t>
      </w:r>
      <w:r>
        <w:t xml:space="preserve"> </w:t>
      </w:r>
      <w:r>
        <w:t xml:space="preserve">as a healthcare provider in the United Arab Emirates context.</w:t>
      </w:r>
    </w:p>
    <w:p>
      <w:pPr>
        <w:pStyle w:val="FirstParagraph"/>
      </w:pPr>
      <w:r>
        <w:t xml:space="preserve">Data Analysis</w:t>
      </w:r>
    </w:p>
    <w:p>
      <w:pPr>
        <w:pStyle w:val="BodyText"/>
      </w:pPr>
      <w:r>
        <w:t xml:space="preserve">Data was analyzed using SPSS software. Key metrics included HbA1c levels reduction, medication adherence rates (measured via Morisky Scale), and cost-effectiveness analysis from the perspective of the Dubai health insurance providers.</w:t>
      </w:r>
    </w:p>
    <w:p>
      <w:pPr>
        <w:pStyle w:val="BodyText"/>
      </w:pPr>
      <w:r>
        <w:rPr>
          <w:bCs/>
          <w:b/>
        </w:rPr>
        <w:t xml:space="preserve">Preliminary Findings:</w:t>
      </w:r>
      <w:r>
        <w:br/>
      </w:r>
      <w:r>
        <w:t xml:space="preserve">The data indicates a statistically significant improvement (p &lt; 0.05) in HbA1c control among patients receiving direct clinical interventions from pharmacists compared to those receiving standard dispensing services. Furthermore, medication adherence improved by 32% when pharmacist-led counseling was integrated into the workflow.</w:t>
      </w:r>
    </w:p>
    <w:bookmarkEnd w:id="25"/>
    <w:bookmarkStart w:id="30" w:name="visual-abstract"/>
    <w:p>
      <w:pPr>
        <w:pStyle w:val="Heading3"/>
      </w:pPr>
      <w:r>
        <w:t xml:space="preserve">Visual Abstract</w:t>
      </w:r>
    </w:p>
    <w:p>
      <w:pPr>
        <w:pStyle w:val="FirstParagraph"/>
      </w:pPr>
      <w:r>
        <w:rPr>
          <w:iCs/>
          <w:i/>
        </w:rPr>
        <w:t xml:space="preserve">[Graph Placeholder]</w:t>
      </w:r>
    </w:p>
    <w:p>
      <w:pPr>
        <w:pStyle w:val="BodyText"/>
      </w:pPr>
      <w:r>
        <w:rPr>
          <w:bCs/>
          <w:b/>
        </w:rPr>
        <w:t xml:space="preserve">Trend in HbA1c Levels over 6 Months</w:t>
      </w:r>
    </w:p>
    <w:p>
      <w:pPr>
        <w:pStyle w:val="BodyText"/>
      </w:pPr>
      <w:r>
        <w:t xml:space="preserve">&lt;!-- Pharmacist Intervention --&gt;</w:t>
      </w:r>
    </w:p>
    <w:p>
      <w:pPr>
        <w:pStyle w:val="BodyText"/>
      </w:pPr>
      <w:r>
        <w:t xml:space="preserve">&lt; p style=font-size:12px;margin-top:5px &gt;Pharmacist intervention shows superior outcomes in Dubai population.</w:t>
      </w:r>
    </w:p>
    <w:bookmarkStart w:id="26" w:name="digital-integration-in-dubai"/>
    <w:p>
      <w:pPr>
        <w:pStyle w:val="Heading3"/>
      </w:pPr>
      <w:r>
        <w:t xml:space="preserve">Digital Integration in Dubai</w:t>
      </w:r>
    </w:p>
    <w:p>
      <w:pPr>
        <w:pStyle w:val="FirstParagraph"/>
      </w:pPr>
      <w:r>
        <w:t xml:space="preserve">A critical component of this study was the examination of telehealth. In Dubai, the "Dubai Health Strategy 2021-2025" prioritizes digital transformation. Our findings suggest that when pharmacists utilize remote monitoring platforms integrated with the DHA's electronic health records (EHR), patient engagement increases significantly.</w:t>
      </w:r>
    </w:p>
    <w:p>
      <w:pPr>
        <w:pStyle w:val="BodyText"/>
      </w:pPr>
      <w:r>
        <w:t xml:space="preserve">This integration allows a single pharmacist to manage a larger panel of patients efficiently, addressing the staffing shortages often experienced in high-volume clinics across the United Arab Emirates. The use of AI-driven medication reconciliation tools has proven particularly effective in reducing polypharmacy risks among elderly populations in Dubai.</w:t>
      </w:r>
    </w:p>
    <w:bookmarkEnd w:id="26"/>
    <w:bookmarkStart w:id="29" w:name="discussion-implications"/>
    <w:p>
      <w:pPr>
        <w:pStyle w:val="Heading3"/>
      </w:pPr>
      <w:r>
        <w:t xml:space="preserve">Discussion &amp; Implications</w:t>
      </w:r>
    </w:p>
    <w:p>
      <w:pPr>
        <w:pStyle w:val="FirstParagraph"/>
      </w:pPr>
      <w:r>
        <w:t xml:space="preserve">The results underscore that the role of the pharmacist must be redefined from a product-centric focus to a patient-centric clinical model. For the United Arab Emirates, this shift is not merely academic but an economic imperative. By empowering pharmacists to handle minor ailments and chronic disease management, hospital emergency departments in Dubai can alleviate overcrowding.</w:t>
      </w:r>
    </w:p>
    <w:bookmarkStart w:id="27" w:name="conclusion"/>
    <w:p>
      <w:pPr>
        <w:pStyle w:val="Heading4"/>
      </w:pPr>
      <w:r>
        <w:t xml:space="preserve">Conclusion</w:t>
      </w:r>
    </w:p>
    <w:p>
      <w:pPr>
        <w:pStyle w:val="FirstParagraph"/>
      </w:pPr>
      <w:r>
        <w:t xml:space="preserve">The transition of the pharmacist's role in the United Arab Emirates is underway but requires sustained policy support and educational reform. In Dubai specifically, the integration of advanced clinical pharmacy services within community settings offers a scalable solution to managing chronic diseases. Future research should focus on expanding these models to rural areas within the UAE federation.</w:t>
      </w:r>
    </w:p>
    <w:bookmarkEnd w:id="27"/>
    <w:bookmarkStart w:id="28" w:name="references-acknowledgements"/>
    <w:p>
      <w:pPr>
        <w:pStyle w:val="Heading3"/>
      </w:pPr>
      <w:r>
        <w:t xml:space="preserve">References &amp; Acknowledgements</w:t>
      </w:r>
    </w:p>
    <w:p>
      <w:pPr>
        <w:pStyle w:val="FirstParagraph"/>
      </w:pPr>
      <w:r>
        <w:t xml:space="preserve">Dubai Health Authority. (2021). *Dubai Health Strategy 2050*.</w:t>
      </w:r>
    </w:p>
    <w:p>
      <w:pPr>
        <w:pStyle w:val="BodyText"/>
      </w:pPr>
      <w:r>
        <w:t xml:space="preserve">Ministry of Health and Prevention UAE. (2019). *National Policy for Pharmaceutical Services*.</w:t>
      </w:r>
    </w:p>
    <w:p>
      <w:pPr>
        <w:pStyle w:val="BodyText"/>
      </w:pPr>
      <w:r>
        <w:t xml:space="preserve">Websites: www.dha.gov.ae | www.mohap.gov.ae</w:t>
      </w:r>
    </w:p>
    <w:p>
      <w:pPr>
        <w:pStyle w:val="BodyText"/>
      </w:pPr>
      <w:r>
        <w:t xml:space="preserve">Thank You for Your Attention.</w:t>
      </w:r>
      <w:r>
        <w:br/>
      </w:r>
      <w:r>
        <w:t xml:space="preserve">Contact us via QR Code below.</w:t>
      </w:r>
    </w:p>
    <w:bookmarkEnd w:id="28"/>
    <w:p>
      <w:pPr>
        <w:pStyle w:val="BodyText"/>
      </w:pPr>
      <w:r>
        <w:t xml:space="preserve">&lt;/ div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the United Arab Emirates Dubai</dc:title>
  <dc:creator/>
  <dc:language>en</dc:language>
  <cp:keywords/>
  <dcterms:created xsi:type="dcterms:W3CDTF">2026-07-29T15:12:27Z</dcterms:created>
  <dcterms:modified xsi:type="dcterms:W3CDTF">2026-07-29T15:12:27Z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