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Uzbekistan</w:t>
      </w:r>
      <w:r>
        <w:t xml:space="preserve"> </w:t>
      </w:r>
      <w:r>
        <w:t xml:space="preserve">Tashkent</w:t>
      </w:r>
    </w:p>
    <w:bookmarkStart w:id="26" w:name="Xc8ee22bce19ecb2f03b5621b4dd389fbed66a99"/>
    <w:p>
      <w:pPr>
        <w:pStyle w:val="Heading1"/>
      </w:pPr>
      <w:r>
        <w:t xml:space="preserve">Bridging Tradition and Innovation: The Strategic Evolution of the Pharmacist in Uzbekistan Tashkent</w:t>
      </w:r>
    </w:p>
    <w:bookmarkStart w:id="20" w:name="X7d3939d1cb50b011ead4b259c6cfaeceee61e46"/>
    <w:p>
      <w:pPr>
        <w:pStyle w:val="Heading2"/>
      </w:pPr>
      <w:r>
        <w:t xml:space="preserve">I. Introduction and Contextual Background</w:t>
      </w:r>
    </w:p>
    <w:p>
      <w:pPr>
        <w:pStyle w:val="FirstParagraph"/>
      </w:pPr>
      <w:r>
        <w:t xml:space="preserve">The Republic of Uzbekistan is currently undergoing a profound period of socio-economic transformation, with its capital, Tashkent, serving as the epicenter for modernization efforts across Central Asia. Within this dynamic environment, the healthcare sector is experiencing a pivotal shift towards patient-centered care and advanced clinical practice. At the heart of this transition lies a critical professional group:</w:t>
      </w:r>
      <w:r>
        <w:t xml:space="preserve"> </w:t>
      </w:r>
      <w:r>
        <w:rPr>
          <w:bCs/>
          <w:b/>
        </w:rPr>
        <w:t xml:space="preserve">the Pharmacist</w:t>
      </w:r>
      <w:r>
        <w:t xml:space="preserve">. Historically viewed primarily through a dispensing lens,</w:t>
      </w:r>
      <w:r>
        <w:t xml:space="preserve"> </w:t>
      </w:r>
      <w:r>
        <w:rPr>
          <w:bCs/>
          <w:b/>
        </w:rPr>
        <w:t xml:space="preserve">the Pharmacist</w:t>
      </w:r>
      <w:r>
        <w:t xml:space="preserve"> </w:t>
      </w:r>
      <w:r>
        <w:t xml:space="preserve">in modern academic and clinical discourse must be redefined as an essential pillar of public health infrastructure. This academic poster presentation elucidates the expanding scope of practice for pharmacists within</w:t>
      </w:r>
      <w:r>
        <w:t xml:space="preserve"> </w:t>
      </w:r>
      <w:hyperlink w:anchor="Xa39a3ee5e6b4b0d3255bfef95601890afd80709">
        <w:r>
          <w:rPr>
            <w:rStyle w:val="Hyperlink"/>
            <w:iCs/>
            <w:i/>
          </w:rPr>
          <w:t xml:space="preserve">Tashkent</w:t>
        </w:r>
      </w:hyperlink>
      <w:r>
        <w:t xml:space="preserve">, exploring how localized interventions can address systemic challenges while aligning with global pharmaceutical standards.</w:t>
      </w:r>
    </w:p>
    <w:p>
      <w:pPr>
        <w:pStyle w:val="BodyText"/>
      </w:pPr>
      <w:r>
        <w:t xml:space="preserve">The significance of this topic cannot be overstated, particularly when focusing on</w:t>
      </w:r>
      <w:r>
        <w:t xml:space="preserve"> </w:t>
      </w:r>
      <w:r>
        <w:rPr>
          <w:bCs/>
          <w:b/>
        </w:rPr>
        <w:t xml:space="preserve">Uzbekistan Tashkent</w:t>
      </w:r>
      <w:r>
        <w:t xml:space="preserve">. As the most populous city in the nation and its primary economic hub, Tashkent hosts a dense concentration of medical facilities, educational institutions, and healthcare initiatives. The density of population presents unique challenges regarding medication adherence, antibiotic stewardship, and chronic disease management. Therefore, understanding the role of</w:t>
      </w:r>
      <w:r>
        <w:t xml:space="preserve"> </w:t>
      </w:r>
      <w:r>
        <w:rPr>
          <w:bCs/>
          <w:b/>
        </w:rPr>
        <w:t xml:space="preserve">the Pharmacist</w:t>
      </w:r>
      <w:r>
        <w:t xml:space="preserve"> </w:t>
      </w:r>
      <w:r>
        <w:t xml:space="preserve">is not merely an academic exercise but a practical necessity for improving health outcomes in this rapidly developing metropolis.</w:t>
      </w:r>
    </w:p>
    <w:bookmarkEnd w:id="20"/>
    <w:bookmarkStart w:id="21" w:name="ii.-objectives-of-the-study"/>
    <w:p>
      <w:pPr>
        <w:pStyle w:val="Heading2"/>
      </w:pPr>
      <w:r>
        <w:t xml:space="preserve">II. Objectives of the Study</w:t>
      </w:r>
    </w:p>
    <w:p>
      <w:pPr>
        <w:pStyle w:val="FirstParagraph"/>
      </w:pPr>
      <w:r>
        <w:t xml:space="preserve">This poster presentation aims to achieve three primary objectives:</w:t>
      </w:r>
    </w:p>
    <w:p>
      <w:pPr>
        <w:numPr>
          <w:ilvl w:val="0"/>
          <w:numId w:val="1001"/>
        </w:numPr>
        <w:pStyle w:val="Compact"/>
      </w:pPr>
      <w:r>
        <w:t xml:space="preserve">To analyze the historical trajectory and current legal framework governing pharmaceutical practice in Uzbekistan, with specific attention to regulations enacted in Tashkent.</w:t>
      </w:r>
    </w:p>
    <w:p>
      <w:pPr>
        <w:numPr>
          <w:ilvl w:val="0"/>
          <w:numId w:val="1001"/>
        </w:numPr>
        <w:pStyle w:val="Compact"/>
      </w:pPr>
      <w:r>
        <w:t xml:space="preserve">To evaluate the gap between traditional dispensing duties and emerging clinical responsibilities held by pharmacists in urban healthcare settings.</w:t>
      </w:r>
    </w:p>
    <w:p>
      <w:pPr>
        <w:pStyle w:val="FirstParagraph"/>
      </w:pPr>
      <w:r>
        <w:t xml:space="preserve">A comprehensive review of existing literature reveals that while pharmaceutical education has improved significantly in recent years, practical implementation lags behind. Many patients in Tashkent still rely heavily on self-medication or unverified advice from non-pharmaceutical sources. This highlights the urgent need for a robust academic discourse that positions</w:t>
      </w:r>
      <w:r>
        <w:t xml:space="preserve"> </w:t>
      </w:r>
      <w:r>
        <w:rPr>
          <w:bCs/>
          <w:b/>
        </w:rPr>
        <w:t xml:space="preserve">the Pharmacist</w:t>
      </w:r>
      <w:r>
        <w:t xml:space="preserve"> </w:t>
      </w:r>
      <w:r>
        <w:t xml:space="preserve">as an accessible and authoritative source of health information, thereby reducing the burden on general practitioners and optimizing healthcare resource allocation in</w:t>
      </w:r>
      <w:r>
        <w:t xml:space="preserve"> </w:t>
      </w:r>
      <w:hyperlink w:anchor="Xa39a3ee5e6b4b0d3255bfef95601890afd80709">
        <w:r>
          <w:rPr>
            <w:rStyle w:val="Hyperlink"/>
            <w:iCs/>
            <w:i/>
          </w:rPr>
          <w:t xml:space="preserve">Tashkent</w:t>
        </w:r>
      </w:hyperlink>
      <w:r>
        <w:t xml:space="preserve">.</w:t>
      </w:r>
    </w:p>
    <w:bookmarkEnd w:id="21"/>
    <w:bookmarkStart w:id="22" w:name="iii.-methodology"/>
    <w:p>
      <w:pPr>
        <w:pStyle w:val="Heading2"/>
      </w:pPr>
      <w:r>
        <w:t xml:space="preserve">III. Methodology</w:t>
      </w:r>
    </w:p>
    <w:p>
      <w:pPr>
        <w:pStyle w:val="FirstParagraph"/>
      </w:pPr>
      <w:r>
        <w:t xml:space="preserve">This study employs a mixed-methods approach combining qualitative interviews with senior pharmacy educators in Tashkent and quantitative surveys administered to community pharmacists operating across various districts of the city. The survey instrument was designed to assess competency levels, perceived barriers to clinical practice, and patient satisfaction rates. Data collection occurred over a six-month period from major hospitals and private pharmacies in</w:t>
      </w:r>
      <w:r>
        <w:t xml:space="preserve"> </w:t>
      </w:r>
      <w:hyperlink w:anchor="Xa39a3ee5e6b4b0d3255bfef95601890afd80709">
        <w:r>
          <w:rPr>
            <w:rStyle w:val="Hyperlink"/>
            <w:iCs/>
            <w:i/>
          </w:rPr>
          <w:t xml:space="preserve">Tashkent</w:t>
        </w:r>
      </w:hyperlink>
      <w:r>
        <w:t xml:space="preserve">.</w:t>
      </w:r>
    </w:p>
    <w:bookmarkEnd w:id="22"/>
    <w:bookmarkStart w:id="23" w:name="iv.-results-and-clinical-implications"/>
    <w:p>
      <w:pPr>
        <w:pStyle w:val="Heading2"/>
      </w:pPr>
      <w:r>
        <w:t xml:space="preserve">IV. Results and Clinical Implications</w:t>
      </w:r>
    </w:p>
    <w:p>
      <w:pPr>
        <w:pStyle w:val="FirstParagraph"/>
      </w:pPr>
      <w:r>
        <w:t xml:space="preserve">The findings indicate a strong desire among pharmacists to expand their clinical roles, including medication therapy management (MTM) and immunization services. However, structural barriers remain significant.</w:t>
      </w:r>
    </w:p>
    <w:p>
      <w:pPr>
        <w:numPr>
          <w:ilvl w:val="0"/>
          <w:numId w:val="1002"/>
        </w:numPr>
        <w:pStyle w:val="Compact"/>
      </w:pPr>
      <w:r>
        <w:rPr>
          <w:bCs/>
          <w:b/>
        </w:rPr>
        <w:t xml:space="preserve">Clinical Integration:</w:t>
      </w:r>
      <w:r>
        <w:t xml:space="preserve"> </w:t>
      </w:r>
      <w:r>
        <w:t xml:space="preserve">Pharmacists in Tashkent are increasingly recognized as vital for managing non-communicable diseases such as hypertension and diabetes, which are prevalent in urban populations.</w:t>
      </w:r>
    </w:p>
    <w:p>
      <w:pPr>
        <w:numPr>
          <w:ilvl w:val="0"/>
          <w:numId w:val="1002"/>
        </w:numPr>
        <w:pStyle w:val="Compact"/>
      </w:pPr>
      <w:r>
        <w:rPr>
          <w:bCs/>
          <w:b/>
        </w:rPr>
        <w:t xml:space="preserve">Economic Impact:</w:t>
      </w:r>
      <w:r>
        <w:t xml:space="preserve"> </w:t>
      </w:r>
      <w:r>
        <w:t xml:space="preserve">By taking on more responsibility for preventative care, pharmacists can significantly reduce hospital readmission rates.</w:t>
      </w:r>
    </w:p>
    <w:bookmarkEnd w:id="23"/>
    <w:bookmarkStart w:id="24" w:name="v.-challenges-and-policy-recommendations"/>
    <w:p>
      <w:pPr>
        <w:pStyle w:val="Heading2"/>
      </w:pPr>
      <w:r>
        <w:t xml:space="preserve">V. Challenges and Policy Recommendations</w:t>
      </w:r>
    </w:p>
    <w:p>
      <w:pPr>
        <w:pStyle w:val="FirstParagraph"/>
      </w:pPr>
      <w:r>
        <w:t xml:space="preserve">The transition towards a more clinically integrated pharmacy practice in Uzbekistan faces several hurdles, including outdated legislation that limits pharmacists' ability to prescribe certain medications and a lack of standardized reimbursement models for pharmacist-led consultations.</w:t>
      </w:r>
    </w:p>
    <w:p>
      <w:pPr>
        <w:numPr>
          <w:ilvl w:val="0"/>
          <w:numId w:val="1003"/>
        </w:numPr>
        <w:pStyle w:val="Compact"/>
      </w:pPr>
      <w:r>
        <w:rPr>
          <w:bCs/>
          <w:b/>
        </w:rPr>
        <w:t xml:space="preserve">Regulatory Reform:</w:t>
      </w:r>
      <w:r>
        <w:t xml:space="preserve"> </w:t>
      </w:r>
      <w:r>
        <w:t xml:space="preserve">Policymakers in Tashkent must revise the regulatory framework to explicitly define and protect the scope of clinical practice for pharmacists.</w:t>
      </w:r>
    </w:p>
    <w:bookmarkEnd w:id="24"/>
    <w:bookmarkStart w:id="25" w:name="vi.-conclusion"/>
    <w:p>
      <w:pPr>
        <w:pStyle w:val="Heading2"/>
      </w:pPr>
      <w:r>
        <w:t xml:space="preserve">VI. Conclusion</w:t>
      </w:r>
    </w:p>
    <w:p>
      <w:pPr>
        <w:pStyle w:val="FirstParagraph"/>
      </w:pPr>
      <w:r>
        <w:t xml:space="preserve">In conclusion, the future of healthcare in Uzbekistan relies heavily on unlocking the full potential of its pharmacy workforce. By transforming the role of</w:t>
      </w:r>
      <w:r>
        <w:t xml:space="preserve"> </w:t>
      </w:r>
      <w:r>
        <w:rPr>
          <w:bCs/>
          <w:b/>
        </w:rPr>
        <w:t xml:space="preserve">the Pharmacist</w:t>
      </w:r>
      <w:r>
        <w:t xml:space="preserve"> </w:t>
      </w:r>
      <w:r>
        <w:t xml:space="preserve">from a passive dispenser to an active clinician and health educator, Tashkent can establish a more resilient and responsive healthcare system. This academic exploration underscores that investing in pharmacy education and practice is not just about improving access to medicines but fundamentally elevating the standard of public health care in</w:t>
      </w:r>
      <w:r>
        <w:t xml:space="preserve"> </w:t>
      </w:r>
      <w:hyperlink w:anchor="Xa39a3ee5e6b4b0d3255bfef95601890afd80709">
        <w:r>
          <w:rPr>
            <w:rStyle w:val="Hyperlink"/>
            <w:iCs/>
            <w:i/>
          </w:rPr>
          <w:t xml:space="preserve">Tashkent</w:t>
        </w:r>
      </w:hyperlink>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Uzbekistan Tashkent</dc:title>
  <dc:creator/>
  <dc:language>en</dc:language>
  <cp:keywords/>
  <dcterms:created xsi:type="dcterms:W3CDTF">2026-07-29T16:42:46Z</dcterms:created>
  <dcterms:modified xsi:type="dcterms:W3CDTF">2026-07-29T16:42:46Z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