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India</w:t>
      </w:r>
      <w:r>
        <w:t xml:space="preserve"> </w:t>
      </w:r>
      <w:r>
        <w:t xml:space="preserve">Mumbai</w:t>
      </w:r>
    </w:p>
    <w:bookmarkStart w:id="23" w:name="X3275251f64ca54ee74aa1a42628be456a970859"/>
    <w:p>
      <w:pPr>
        <w:pStyle w:val="Heading1"/>
      </w:pPr>
      <w:r>
        <w:t xml:space="preserve">The Photographer in India Mumbai: Visual Storytelling Amidst Urban Chaos and Cultural Heritage</w:t>
      </w:r>
    </w:p>
    <w:p>
      <w:pPr>
        <w:pStyle w:val="FirstParagraph"/>
      </w:pPr>
      <w:r>
        <w:rPr>
          <w:iCs/>
          <w:i/>
        </w:rPr>
        <w:t xml:space="preserve">An Academic Poster Presentation Exploring Socio-Economic Dynamics, Aesthetic Evolution, and Ethical Considerations in One of the World's Most Dynamic Cities</w:t>
      </w:r>
    </w:p>
    <w:bookmarkStart w:id="22" w:name="introduction-contextual-framework"/>
    <w:p>
      <w:pPr>
        <w:pStyle w:val="Heading2"/>
      </w:pPr>
      <w:r>
        <w:t xml:space="preserve">1. Introduction &amp; Contextual Framework</w:t>
      </w:r>
    </w:p>
    <w:p>
      <w:pPr>
        <w:pStyle w:val="FirstParagraph"/>
      </w:pPr>
      <w:r>
        <w:t xml:space="preserve">Mumbai, often referred to as "The City that Never Sleeps," generates approximately six percent of India's GDP while accommodating nearly two percent of its population in a densely packed geographical area. For the Photographer, this density offers an unparalleled canvas for visual documentation. However, it also presents significant challenges regarding accessibility, safety permissions and ethical engagement with subjects ranging from street vendors to Bollywood celebrities.</w:t>
      </w:r>
    </w:p>
    <w:p>
      <w:pPr>
        <w:pStyle w:val="BodyText"/>
      </w:pPr>
      <w:r>
        <w:t xml:space="preserve">Research Question: How does the Mumbai Photographer negotiate the tension between documentary realism, commercial demand and artistic expression in an environment characterized by rapid urbanization?</w:t>
      </w:r>
    </w:p>
    <w:bookmarkStart w:id="21" w:name="conclusion-implications"/>
    <w:p>
      <w:pPr>
        <w:pStyle w:val="Heading2"/>
      </w:pPr>
      <w:r>
        <w:t xml:space="preserve">5. Conclusion &amp; Implications</w:t>
      </w:r>
    </w:p>
    <w:p>
      <w:pPr>
        <w:pStyle w:val="FirstParagraph"/>
      </w:pPr>
      <w:r>
        <w:t xml:space="preserve">This presentation underscores importance understanding contextual factors shaping photographic practices considering historical cultural economic dimensions specific to each city studied. By examining case studies highlighting successful initiatives promoting ethical standards encouraging diversity representation within industry stakeholders can contribute positively towards sustainable development goals aligned with United Nations framework.</w:t>
      </w:r>
    </w:p>
    <w:p>
      <w:pPr>
        <w:pStyle w:val="BodyText"/>
      </w:pPr>
      <w:r>
        <w:t xml:space="preserve">Future Directions:Further research needed explore impact emerging technologies artificial intelligence augmented reality transforming workflows enabling new forms creative expression pushing boundaries conventional photography practices worldwide including those operating within bustling metropolises like India Mumbai.</w:t>
      </w:r>
    </w:p>
    <w:bookmarkStart w:id="20" w:name="selected-references"/>
    <w:p>
      <w:pPr>
        <w:pStyle w:val="Heading2"/>
      </w:pPr>
      <w:r>
        <w:t xml:space="preserve">6. Selected References</w:t>
      </w:r>
    </w:p>
    <w:p>
      <w:pPr>
        <w:pStyle w:val="FirstParagraph"/>
      </w:pPr>
      <w:r>
        <w:t xml:space="preserve">Dey, S. (2019). Urban Spaces Visual Narratives Mumbai Delhi Kolkata.</w:t>
      </w:r>
    </w:p>
    <w:p>
      <w:pPr>
        <w:pStyle w:val="BodyText"/>
      </w:pPr>
      <w:r>
        <w:t xml:space="preserve">Gupta R., Verma P. (eds.) Social Media Digital Photography Contemporary Indian Society Springer Publications.</w:t>
      </w:r>
    </w:p>
    <w:p>
      <w:pPr>
        <w:pStyle w:val="BodyText"/>
      </w:pPr>
      <w:r>
        <w:t xml:space="preserve">Kapoor A.(editorial) Street Photography Ethical Guidelines International Federation Photographic Art FIPA).</w:t>
      </w:r>
    </w:p>
    <w:bookmarkEnd w:id="20"/>
    <w:p>
      <w:pPr>
        <w:pStyle w:val="BodyText"/>
      </w:pPr>
      <w:r>
        <w:t xml:space="preserve">© 2024 Academic Conference on Urban Visual Culture. All Rights Reserved. Contact: research@urbanvisuals.org</w:t>
      </w:r>
    </w:p>
    <w:p>
      <w:pPr>
        <w:pStyle w:val="BodyText"/>
      </w:pPr>
      <w:r>
        <w:t xml:space="preserve">```html</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India Mumbai</dc:title>
  <dc:creator/>
  <dc:language>en</dc:language>
  <cp:keywords/>
  <dcterms:created xsi:type="dcterms:W3CDTF">2026-07-29T14:27:35Z</dcterms:created>
  <dcterms:modified xsi:type="dcterms:W3CDTF">2026-07-29T14:27:35Z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