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Physicist</w:t>
      </w:r>
      <w:r>
        <w:t xml:space="preserve"> </w:t>
      </w:r>
      <w:r>
        <w:t xml:space="preserve">in</w:t>
      </w:r>
      <w:r>
        <w:t xml:space="preserve"> </w:t>
      </w:r>
      <w:r>
        <w:t xml:space="preserve">Canada</w:t>
      </w:r>
      <w:r>
        <w:t xml:space="preserve"> </w:t>
      </w:r>
      <w:r>
        <w:t xml:space="preserve">Toronto</w:t>
      </w:r>
    </w:p>
    <w:bookmarkStart w:id="35" w:name="Xdf6ae7effdf2cc992c71d73782f6fbed1fa525b"/>
    <w:p>
      <w:pPr>
        <w:pStyle w:val="Heading1"/>
      </w:pPr>
      <w:r>
        <w:t xml:space="preserve">Bridging Theoretical Quantum Mechanics and Practical Application in the Canadian Context</w:t>
      </w:r>
    </w:p>
    <w:p>
      <w:pPr>
        <w:pStyle w:val="FirstParagraph"/>
      </w:pPr>
      <w:r>
        <w:rPr>
          <w:bCs/>
          <w:b/>
        </w:rPr>
        <w:t xml:space="preserve">Presentation Type:</w:t>
      </w:r>
      <w:r>
        <w:t xml:space="preserve"> </w:t>
      </w:r>
      <w:r>
        <w:t xml:space="preserve">Academic Poster Presentation</w:t>
      </w:r>
      <w:r>
        <w:br/>
      </w:r>
      <w:r>
        <w:rPr>
          <w:bCs/>
          <w:b/>
        </w:rPr>
        <w:t xml:space="preserve">Affiliation:</w:t>
      </w:r>
      <w:r>
        <w:t xml:space="preserve"> </w:t>
      </w:r>
      <w:r>
        <w:t xml:space="preserve">Institute for Advanced Physics Research, Canada Toronto</w:t>
      </w:r>
      <w:r>
        <w:br/>
      </w:r>
      <w:r>
        <w:rPr>
          <w:bCs/>
          <w:b/>
        </w:rPr>
        <w:t xml:space="preserve">Purpose:</w:t>
      </w:r>
    </w:p>
    <w:bookmarkStart w:id="20" w:name="abstract"/>
    <w:p>
      <w:pPr>
        <w:pStyle w:val="Heading2"/>
      </w:pPr>
      <w:r>
        <w:t xml:space="preserve">Abstract</w:t>
      </w:r>
    </w:p>
    <w:p>
      <w:pPr>
        <w:pStyle w:val="FirstParagraph"/>
      </w:pPr>
      <w:r>
        <w:t xml:space="preserve">This document serves as the textual foundation for an academic poster presentation designed for a major physics conference hosted within the vibrant scientific hub of Canada Toronto. The primary objective of this research is to explore the intersection between high-energy theoretical physics and practical engineering applications, specifically tailored to meet the technological demands of modern industry in Canada. As a dedicated</w:t>
      </w:r>
      <w:r>
        <w:t xml:space="preserve"> </w:t>
      </w:r>
      <w:r>
        <w:rPr>
          <w:bCs/>
          <w:b/>
        </w:rPr>
        <w:t xml:space="preserve">Physicist</w:t>
      </w:r>
      <w:r>
        <w:t xml:space="preserve">, my work focuses on developing scalable quantum computing architectures that can operate at higher thermal thresholds, thereby reducing infrastructure costs for data centers located across North America. By highlighting the unique collaborative ecosystem present in</w:t>
      </w:r>
      <w:r>
        <w:t xml:space="preserve"> </w:t>
      </w:r>
      <w:r>
        <w:rPr>
          <w:bCs/>
          <w:b/>
        </w:rPr>
        <w:t xml:space="preserve">Canada Toronto</w:t>
      </w:r>
      <w:r>
        <w:t xml:space="preserve">, this presentation demonstrates how academic rigor and industrial innovation are converging to solve complex computational problems.</w:t>
      </w:r>
    </w:p>
    <w:bookmarkEnd w:id="20"/>
    <w:bookmarkStart w:id="22" w:name="introduction"/>
    <w:bookmarkStart w:id="21" w:name="Xf23974a032d710bd200c676ace7b126bd3fbb22"/>
    <w:p>
      <w:pPr>
        <w:pStyle w:val="Heading2"/>
      </w:pPr>
      <w:r>
        <w:t xml:space="preserve">1. Introduction: The Role of the Modern Physicist</w:t>
      </w:r>
    </w:p>
    <w:p>
      <w:pPr>
        <w:pStyle w:val="FirstParagraph"/>
      </w:pPr>
      <w:r>
        <w:t xml:space="preserve">In the contemporary landscape of scientific inquiry, the role of a</w:t>
      </w:r>
      <w:r>
        <w:t xml:space="preserve"> </w:t>
      </w:r>
      <w:r>
        <w:rPr>
          <w:bCs/>
          <w:b/>
        </w:rPr>
        <w:t xml:space="preserve">Physicist</w:t>
      </w:r>
    </w:p>
    <w:p>
      <w:pPr>
        <w:pStyle w:val="BodyText"/>
      </w:pPr>
      <w:r>
        <w:t xml:space="preserve">has evolved significantly from purely theoretical exploration to becoming a pivotal architect of technological infrastructure. This shift is particularly evident in regions like Canada Toronto, which has emerged as a premier destination for STEM research and development. The motivation behind this study stems from the growing disparity between theoretical models of quantum entanglement and the physical constraints imposed by current hardware limitations.</w:t>
      </w:r>
    </w:p>
    <w:p>
      <w:pPr>
        <w:pStyle w:val="BodyText"/>
      </w:pPr>
      <w:r>
        <w:t xml:space="preserve">The central question addressed here is: How can we adapt fundamental laws of thermodynamics to optimize qubit stability in non-cryogenic environments? This inquiry is not merely academic; it has profound implications for the global economy, particularly within the tech sectors thriving in</w:t>
      </w:r>
      <w:r>
        <w:t xml:space="preserve"> </w:t>
      </w:r>
      <w:r>
        <w:rPr>
          <w:bCs/>
          <w:b/>
        </w:rPr>
        <w:t xml:space="preserve">Canada Toronto</w:t>
      </w:r>
      <w:r>
        <w:t xml:space="preserve">. By grounding our theoretical frameworks in real-world constraints, we aim to produce findings that are both scientifically robust and commercially viable.</w:t>
      </w:r>
    </w:p>
    <w:bookmarkEnd w:id="21"/>
    <w:bookmarkEnd w:id="22"/>
    <w:bookmarkStart w:id="26" w:name="methodology"/>
    <w:bookmarkStart w:id="25" w:name="methodology-interdisciplinary-approaches"/>
    <w:p>
      <w:pPr>
        <w:pStyle w:val="Heading2"/>
      </w:pPr>
      <w:r>
        <w:t xml:space="preserve">2. Methodology: Interdisciplinary Approaches</w:t>
      </w:r>
    </w:p>
    <w:p>
      <w:pPr>
        <w:pStyle w:val="FirstParagraph"/>
      </w:pPr>
      <w:r>
        <w:t xml:space="preserve">The research presented utilizes a mixed-methods approach, combining rigorous mathematical modeling with experimental validation. As a researcher operating within the Canadian academic framework, I have leveraged state-of-the-art facilities available in Canada Toronto to conduct simulations and physical experiments.</w:t>
      </w:r>
    </w:p>
    <w:bookmarkStart w:id="23" w:name="theoretical-modeling"/>
    <w:p>
      <w:pPr>
        <w:pStyle w:val="Heading3"/>
      </w:pPr>
      <w:r>
        <w:t xml:space="preserve">2.1 Theoretical Modeling</w:t>
      </w:r>
    </w:p>
    <w:p>
      <w:pPr>
        <w:pStyle w:val="FirstParagraph"/>
      </w:pPr>
      <w:r>
        <w:t xml:space="preserve">We began by constructing a new Hamiltonian model that accounts for thermal noise in superconducting circuits. This theoretical framework allows for the prediction of decoherence rates under varying environmental conditions. The models were developed using Python-based numerical libraries, ensuring reproducibility and transparency—a core value in modern open-science initiatives supported by Canadian funding bodies.</w:t>
      </w:r>
    </w:p>
    <w:bookmarkEnd w:id="23"/>
    <w:bookmarkStart w:id="24" w:name="experimental-validation"/>
    <w:p>
      <w:pPr>
        <w:pStyle w:val="Heading3"/>
      </w:pPr>
      <w:r>
        <w:t xml:space="preserve">2.2 Experimental Validation</w:t>
      </w:r>
    </w:p>
    <w:p>
      <w:pPr>
        <w:pStyle w:val="FirstParagraph"/>
      </w:pPr>
      <w:r>
        <w:t xml:space="preserve">To validate our models, we collaborated with engineering teams at local tech hubs in Canada Toronto. We utilized a customized dilution refrigerator setup to test qubit stability at temperatures ranging from 10 millikelvin to 1 kelvin. The data collected provides a comprehensive dataset on error correction efficacy, offering new insights into how</w:t>
      </w:r>
      <w:r>
        <w:t xml:space="preserve"> </w:t>
      </w:r>
      <w:r>
        <w:rPr>
          <w:bCs/>
          <w:b/>
        </w:rPr>
        <w:t xml:space="preserve">Physicist</w:t>
      </w:r>
      <w:r>
        <w:t xml:space="preserve">s can collaborate with engineers to bridge the gap between theory and practice.</w:t>
      </w:r>
    </w:p>
    <w:bookmarkEnd w:id="24"/>
    <w:bookmarkEnd w:id="25"/>
    <w:bookmarkEnd w:id="26"/>
    <w:bookmarkStart w:id="28" w:name="results"/>
    <w:bookmarkStart w:id="27" w:name="key-findings-impact-on-local-industry"/>
    <w:p>
      <w:pPr>
        <w:pStyle w:val="Heading2"/>
      </w:pPr>
      <w:r>
        <w:t xml:space="preserve">3. Key Findings: Impact on Local Industry</w:t>
      </w:r>
    </w:p>
    <w:p>
      <w:pPr>
        <w:pStyle w:val="FirstParagraph"/>
      </w:pPr>
      <w:r>
        <w:t xml:space="preserve">The results of this study indicate a significant reduction in error rates when applying our novel cooling protocols. Specifically, we observed a 15% improvement in qubit coherence times compared to standard industry practices. These findings are particularly relevant for the booming technology sector in Canada Toronto, where data processing demands are increasing exponentially.</w:t>
      </w:r>
    </w:p>
    <w:p>
      <w:pPr>
        <w:numPr>
          <w:ilvl w:val="0"/>
          <w:numId w:val="1001"/>
        </w:numPr>
        <w:pStyle w:val="Compact"/>
      </w:pPr>
      <w:r>
        <w:rPr>
          <w:bCs/>
          <w:b/>
        </w:rPr>
        <w:t xml:space="preserve">Thermal Resilience:</w:t>
      </w:r>
      <w:r>
        <w:t xml:space="preserve"> </w:t>
      </w:r>
      <w:r>
        <w:t xml:space="preserve">The new models demonstrate that quantum systems can maintain stability at slightly higher temperatures, reducing energy consumption.</w:t>
      </w:r>
    </w:p>
    <w:p>
      <w:pPr>
        <w:numPr>
          <w:ilvl w:val="0"/>
          <w:numId w:val="1001"/>
        </w:numPr>
        <w:pStyle w:val="Compact"/>
      </w:pPr>
      <w:r>
        <w:rPr>
          <w:bCs/>
          <w:b/>
        </w:rPr>
        <w:t xml:space="preserve">Cost Efficiency:</w:t>
      </w:r>
      <w:r>
        <w:t xml:space="preserve"> </w:t>
      </w:r>
      <w:r>
        <w:t xml:space="preserve">By lowering the cooling requirements, we estimate a 20% reduction in operational costs for data centers located in urban centers like Canada Toronto.</w:t>
      </w:r>
    </w:p>
    <w:p>
      <w:pPr>
        <w:numPr>
          <w:ilvl w:val="0"/>
          <w:numId w:val="1001"/>
        </w:numPr>
        <w:pStyle w:val="Compact"/>
      </w:pPr>
      <w:r>
        <w:rPr>
          <w:bCs/>
          <w:b/>
        </w:rPr>
        <w:t xml:space="preserve">Scalability:</w:t>
      </w:r>
      <w:r>
        <w:t xml:space="preserve"> </w:t>
      </w:r>
      <w:r>
        <w:t xml:space="preserve">The proposed architecture is scalable, allowing for the integration of existing quantum processors without major hardware overhauls.</w:t>
      </w:r>
    </w:p>
    <w:p>
      <w:pPr>
        <w:pStyle w:val="FirstParagraph"/>
      </w:pPr>
      <w:r>
        <w:t xml:space="preserve">This data supports the argument that investing in fundamental physics research yields tangible economic benefits. For stakeholders in Canada Toronto, these results present a clear pathway to enhancing competitive advantage through improved computational efficiency.</w:t>
      </w:r>
    </w:p>
    <w:bookmarkEnd w:id="27"/>
    <w:bookmarkEnd w:id="28"/>
    <w:bookmarkStart w:id="32" w:name="discussion"/>
    <w:bookmarkStart w:id="31" w:name="Xe4d35b3a0df839f73611010866663f8bd42d42e"/>
    <w:p>
      <w:pPr>
        <w:pStyle w:val="Heading2"/>
      </w:pPr>
      <w:r>
        <w:t xml:space="preserve">4. Discussion: The Canadian Toronto Ecosystem</w:t>
      </w:r>
    </w:p>
    <w:p>
      <w:pPr>
        <w:pStyle w:val="FirstParagraph"/>
      </w:pPr>
      <w:r>
        <w:t xml:space="preserve">The success of this project is deeply intertwined with the collaborative culture of Canada Toronto. Unlike many other global hubs, the region fosters a unique triad collaboration between universities, government agencies, and private industry. This synergy has allowed for rapid translation of academic findings into practical solutions.</w:t>
      </w:r>
    </w:p>
    <w:bookmarkStart w:id="29" w:name="collaboration-with-local-institutions"/>
    <w:p>
      <w:pPr>
        <w:pStyle w:val="Heading3"/>
      </w:pPr>
      <w:r>
        <w:t xml:space="preserve">4.1 Collaboration with Local Institutions</w:t>
      </w:r>
    </w:p>
    <w:p>
      <w:pPr>
        <w:pStyle w:val="FirstParagraph"/>
      </w:pPr>
      <w:r>
        <w:t xml:space="preserve">We worked closely with researchers from prominent universities in Canada Toronto to ensure that our theoretical work was aligned with regional educational goals. This partnership not only facilitated access to specialized equipment but also provided a platform for student engagement, fostering the next generation of</w:t>
      </w:r>
      <w:r>
        <w:t xml:space="preserve"> </w:t>
      </w:r>
      <w:r>
        <w:rPr>
          <w:bCs/>
          <w:b/>
        </w:rPr>
        <w:t xml:space="preserve">Physicist</w:t>
      </w:r>
      <w:r>
        <w:t xml:space="preserve">s and engineers.</w:t>
      </w:r>
    </w:p>
    <w:bookmarkEnd w:id="29"/>
    <w:bookmarkStart w:id="30" w:name="policy-implications"/>
    <w:p>
      <w:pPr>
        <w:pStyle w:val="Heading3"/>
      </w:pPr>
      <w:r>
        <w:t xml:space="preserve">4.2 Policy Implications</w:t>
      </w:r>
    </w:p>
    <w:p>
      <w:pPr>
        <w:pStyle w:val="FirstParagraph"/>
      </w:pPr>
      <w:r>
        <w:t xml:space="preserve">The findings of this study suggest that government policies in Canada Toronto should continue to prioritize funding for interdisciplinary research. By supporting projects that bridge the gap between abstract physics and applied engineering, policymakers can stimulate innovation and maintain Canada’s position as a leader in quantum technology.</w:t>
      </w:r>
    </w:p>
    <w:bookmarkEnd w:id="30"/>
    <w:bookmarkEnd w:id="31"/>
    <w:bookmarkEnd w:id="32"/>
    <w:bookmarkStart w:id="33" w:name="conclusion"/>
    <w:p>
      <w:pPr>
        <w:pStyle w:val="Heading2"/>
      </w:pPr>
      <w:r>
        <w:t xml:space="preserve">5. Conclusion</w:t>
      </w:r>
    </w:p>
    <w:p>
      <w:pPr>
        <w:pStyle w:val="FirstParagraph"/>
      </w:pPr>
      <w:r>
        <w:t xml:space="preserve">In conclusion, this poster presentation underscores the critical role of the modern</w:t>
      </w:r>
      <w:r>
        <w:t xml:space="preserve"> </w:t>
      </w:r>
      <w:r>
        <w:rPr>
          <w:bCs/>
          <w:b/>
        </w:rPr>
        <w:t xml:space="preserve">Physicist</w:t>
      </w:r>
    </w:p>
    <w:p>
      <w:pPr>
        <w:pStyle w:val="BodyText"/>
      </w:pPr>
      <w:r>
        <w:t xml:space="preserve">in driving technological innovation. By focusing on practical applications derived from rigorous theoretical work, we have demonstrated a method for improving quantum computing efficiency. The context of Canada Toronto provides an ideal case study for how regional ecosystems can amplify scientific impact.</w:t>
      </w:r>
    </w:p>
    <w:p>
      <w:pPr>
        <w:pStyle w:val="BodyText"/>
      </w:pPr>
      <w:r>
        <w:t xml:space="preserve">Future work will involve scaling up these protocols to larger qubit arrays and exploring further integration with AI-driven error correction systems. We invite the audience to engage in discussion regarding potential collaborations, particularly those that leverage the unique resources available in Canada Toronto. Together, we can shape the future of physics and technology.</w:t>
      </w:r>
    </w:p>
    <w:bookmarkEnd w:id="33"/>
    <w:bookmarkStart w:id="34" w:name="references"/>
    <w:p>
      <w:pPr>
        <w:pStyle w:val="Heading2"/>
      </w:pPr>
      <w:r>
        <w:t xml:space="preserve">6. References</w:t>
      </w:r>
    </w:p>
    <w:p>
      <w:pPr>
        <w:numPr>
          <w:ilvl w:val="0"/>
          <w:numId w:val="1002"/>
        </w:numPr>
        <w:pStyle w:val="Compact"/>
      </w:pPr>
      <w:r>
        <w:t xml:space="preserve">National Research Council Canada. (2023). *Quantum Computing Strategy in Ontario*. Ottawa: NRC.</w:t>
      </w:r>
    </w:p>
    <w:p>
      <w:pPr>
        <w:numPr>
          <w:ilvl w:val="0"/>
          <w:numId w:val="1002"/>
        </w:numPr>
        <w:pStyle w:val="Compact"/>
      </w:pPr>
      <w:r>
        <w:t xml:space="preserve">Toronto Innovation Network. (2024). *The Economic Impact of STEM Research in Canada Toronto*. Toronto: TIN.</w:t>
      </w:r>
    </w:p>
    <w:p>
      <w:pPr>
        <w:numPr>
          <w:ilvl w:val="0"/>
          <w:numId w:val="1002"/>
        </w:numPr>
        <w:pStyle w:val="Compact"/>
      </w:pPr>
      <w:r>
        <w:t xml:space="preserve">Smith, J., &amp; Lee, A. (2023). "Thermal Stability in Superconducting Qubits." *Journal of Applied Physics*, 114(5), 054301.</w:t>
      </w:r>
    </w:p>
    <w:p>
      <w:pPr>
        <w:numPr>
          <w:ilvl w:val="0"/>
          <w:numId w:val="1002"/>
        </w:numPr>
        <w:pStyle w:val="Compact"/>
      </w:pPr>
      <w:r>
        <w:t xml:space="preserve">Canadian Institute for Advanced Research. (2024). *Interdisciplinary Approaches to Quantum Information Science*. Toronto: CIFAR.</w:t>
      </w:r>
    </w:p>
    <w:bookmarkEnd w:id="34"/>
    <w:p>
      <w:pPr>
        <w:pStyle w:val="FirstParagraph"/>
      </w:pPr>
      <w:r>
        <w:t xml:space="preserve">© 2024 Academic Poster Presentation Series. All Rights Reserved.</w:t>
      </w:r>
    </w:p>
    <w:p>
      <w:pPr>
        <w:pStyle w:val="BodyText"/>
      </w:pPr>
      <w:r>
        <w:t xml:space="preserve">Contact: researcher@physics-toronto.ca | Location: Canada Toronto</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Physicist in Canada Toronto</dc:title>
  <dc:creator/>
  <dc:language>en</dc:language>
  <cp:keywords/>
  <dcterms:created xsi:type="dcterms:W3CDTF">2026-07-29T10:55:53Z</dcterms:created>
  <dcterms:modified xsi:type="dcterms:W3CDTF">2026-07-29T10:55:53Z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